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7" w:rsidRPr="004D39E7" w:rsidRDefault="004D39E7" w:rsidP="004D39E7">
      <w:pPr>
        <w:jc w:val="center"/>
        <w:rPr>
          <w:rFonts w:ascii="Times New Roman" w:hAnsi="Times New Roman" w:cs="Times New Roman"/>
          <w:i/>
          <w:caps/>
          <w:sz w:val="32"/>
          <w:szCs w:val="32"/>
          <w:lang w:val="uk-UA"/>
        </w:rPr>
      </w:pPr>
      <w:r w:rsidRPr="004D39E7">
        <w:rPr>
          <w:rFonts w:ascii="Times New Roman" w:hAnsi="Times New Roman" w:cs="Times New Roman"/>
          <w:i/>
          <w:caps/>
          <w:sz w:val="32"/>
          <w:szCs w:val="32"/>
          <w:lang w:val="uk-UA"/>
        </w:rPr>
        <w:t>Міністерство освіти, науки,</w:t>
      </w:r>
      <w:r w:rsidR="004449AE">
        <w:rPr>
          <w:rFonts w:ascii="Times New Roman" w:hAnsi="Times New Roman" w:cs="Times New Roman"/>
          <w:i/>
          <w:caps/>
          <w:sz w:val="32"/>
          <w:szCs w:val="32"/>
          <w:lang w:val="uk-UA"/>
        </w:rPr>
        <w:t xml:space="preserve"> </w:t>
      </w:r>
      <w:r w:rsidRPr="004D39E7">
        <w:rPr>
          <w:rFonts w:ascii="Times New Roman" w:hAnsi="Times New Roman" w:cs="Times New Roman"/>
          <w:i/>
          <w:caps/>
          <w:sz w:val="32"/>
          <w:szCs w:val="32"/>
          <w:lang w:val="uk-UA"/>
        </w:rPr>
        <w:t>молоді та спорту України</w:t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i/>
          <w:caps/>
          <w:sz w:val="30"/>
          <w:szCs w:val="30"/>
          <w:lang w:val="uk-UA"/>
        </w:rPr>
      </w:pPr>
      <w:r w:rsidRPr="004D39E7">
        <w:rPr>
          <w:rFonts w:ascii="Times New Roman" w:hAnsi="Times New Roman" w:cs="Times New Roman"/>
          <w:i/>
          <w:caps/>
          <w:sz w:val="30"/>
          <w:szCs w:val="30"/>
          <w:lang w:val="uk-UA"/>
        </w:rPr>
        <w:t>Національний університет “Львівська політехніка”</w:t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4D39E7">
        <w:rPr>
          <w:rFonts w:ascii="Times New Roman" w:hAnsi="Times New Roman" w:cs="Times New Roman"/>
          <w:sz w:val="30"/>
          <w:szCs w:val="30"/>
          <w:lang w:val="uk-UA"/>
        </w:rPr>
        <w:t>Інститут економіки і менеджменту</w:t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i/>
          <w:sz w:val="30"/>
          <w:szCs w:val="30"/>
          <w:lang w:val="uk-UA"/>
        </w:rPr>
      </w:pPr>
      <w:r w:rsidRPr="004D39E7">
        <w:rPr>
          <w:rFonts w:ascii="Times New Roman" w:hAnsi="Times New Roman" w:cs="Times New Roman"/>
          <w:i/>
          <w:sz w:val="30"/>
          <w:szCs w:val="30"/>
          <w:lang w:val="uk-UA"/>
        </w:rPr>
        <w:t xml:space="preserve">Кафедра </w:t>
      </w:r>
      <w:r w:rsidR="004449AE">
        <w:rPr>
          <w:rFonts w:ascii="Times New Roman" w:hAnsi="Times New Roman" w:cs="Times New Roman"/>
          <w:i/>
          <w:sz w:val="30"/>
          <w:szCs w:val="30"/>
          <w:lang w:val="uk-UA"/>
        </w:rPr>
        <w:t>менеджменту та міжнародного підприємницва</w:t>
      </w:r>
    </w:p>
    <w:p w:rsidR="004D39E7" w:rsidRPr="004D39E7" w:rsidRDefault="004D39E7" w:rsidP="004D39E7">
      <w:pPr>
        <w:pStyle w:val="3"/>
        <w:rPr>
          <w:rFonts w:ascii="Times New Roman" w:hAnsi="Times New Roman" w:cs="Times New Roman"/>
          <w:sz w:val="30"/>
          <w:szCs w:val="30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spacing w:after="240"/>
        <w:jc w:val="center"/>
        <w:rPr>
          <w:rFonts w:ascii="Times New Roman" w:hAnsi="Times New Roman" w:cs="Times New Roman"/>
          <w:caps/>
          <w:sz w:val="48"/>
          <w:szCs w:val="48"/>
          <w:lang w:val="uk-UA"/>
        </w:rPr>
      </w:pPr>
      <w:r w:rsidRPr="004D39E7">
        <w:rPr>
          <w:rFonts w:ascii="Times New Roman" w:hAnsi="Times New Roman" w:cs="Times New Roman"/>
          <w:caps/>
          <w:sz w:val="48"/>
          <w:szCs w:val="48"/>
          <w:lang w:val="uk-UA"/>
        </w:rPr>
        <w:t>р</w:t>
      </w:r>
      <w:r w:rsidR="004449AE">
        <w:rPr>
          <w:rFonts w:ascii="Times New Roman" w:hAnsi="Times New Roman" w:cs="Times New Roman"/>
          <w:caps/>
          <w:sz w:val="48"/>
          <w:szCs w:val="48"/>
          <w:lang w:val="uk-UA"/>
        </w:rPr>
        <w:t>еферат</w:t>
      </w:r>
    </w:p>
    <w:p w:rsidR="004D39E7" w:rsidRPr="004D39E7" w:rsidRDefault="004D39E7" w:rsidP="004D39E7">
      <w:pPr>
        <w:spacing w:after="24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D39E7">
        <w:rPr>
          <w:rFonts w:ascii="Times New Roman" w:hAnsi="Times New Roman" w:cs="Times New Roman"/>
          <w:sz w:val="27"/>
          <w:szCs w:val="27"/>
          <w:lang w:val="uk-UA"/>
        </w:rPr>
        <w:t xml:space="preserve"> з дисципліни</w:t>
      </w:r>
      <w:r w:rsidRPr="004D39E7">
        <w:rPr>
          <w:rFonts w:ascii="Times New Roman" w:hAnsi="Times New Roman" w:cs="Times New Roman"/>
          <w:sz w:val="28"/>
          <w:lang w:val="uk-UA"/>
        </w:rPr>
        <w:t xml:space="preserve"> </w:t>
      </w:r>
      <w:r w:rsidRPr="004D39E7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449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449AE" w:rsidRPr="004449AE">
        <w:rPr>
          <w:rFonts w:ascii="Times New Roman" w:hAnsi="Times New Roman" w:cs="Times New Roman"/>
          <w:sz w:val="34"/>
          <w:szCs w:val="34"/>
          <w:lang w:val="uk-UA"/>
        </w:rPr>
        <w:t>Валютно-фінансове та банківське обслуговування інвестиційно-інноваційної діяльності</w:t>
      </w:r>
      <w:r w:rsidR="004449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D39E7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C2D4F" w:rsidRDefault="00FC2D4F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br w:type="page"/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4D39E7">
        <w:rPr>
          <w:rFonts w:ascii="Times New Roman" w:hAnsi="Times New Roman" w:cs="Times New Roman"/>
          <w:sz w:val="36"/>
          <w:szCs w:val="36"/>
          <w:lang w:val="uk-UA"/>
        </w:rPr>
        <w:lastRenderedPageBreak/>
        <w:t>Львів – 2012</w:t>
      </w:r>
    </w:p>
    <w:p w:rsidR="004D39E7" w:rsidRDefault="004D39E7" w:rsidP="004D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ВСТУП</w:t>
      </w:r>
    </w:p>
    <w:p w:rsidR="004D39E7" w:rsidRDefault="004D39E7" w:rsidP="006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</w:p>
    <w:p w:rsidR="00050FA9" w:rsidRPr="00050FA9" w:rsidRDefault="00050FA9" w:rsidP="00050FA9">
      <w:pPr>
        <w:spacing w:after="0"/>
        <w:ind w:firstLine="540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50FA9">
        <w:rPr>
          <w:rFonts w:ascii="Times New Roman" w:eastAsia="Calibri" w:hAnsi="Times New Roman" w:cs="Times New Roman"/>
          <w:sz w:val="26"/>
          <w:szCs w:val="26"/>
          <w:lang w:val="uk-UA"/>
        </w:rPr>
        <w:t>Виконання більшості господарських операцій суб'єктів під</w:t>
      </w:r>
      <w:r w:rsidRPr="00050FA9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приємництва пов'язане з грошовими розрахунками. Підставою для здійснення грошових розрахунків є наявність спеціальних документів: рахунків, рахунків-фактур, договорів, угод, кон</w:t>
      </w:r>
      <w:r w:rsidRPr="00050FA9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трактів, актів закупівлі товарів тощо.</w:t>
      </w:r>
    </w:p>
    <w:p w:rsidR="00050FA9" w:rsidRPr="00050FA9" w:rsidRDefault="00050FA9" w:rsidP="00050FA9">
      <w:pPr>
        <w:shd w:val="clear" w:color="auto" w:fill="FFFFFF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t>Найчастіше готівка надходить у касу підприємства з бан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ківських рахунків або як готівковий виторг за продану про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дукцію, виконані роботи чи надані послуги. Надходження і ви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 xml:space="preserve">давання грошей з каси оформляють спеціальними касовими документами. </w:t>
      </w:r>
    </w:p>
    <w:p w:rsidR="00050FA9" w:rsidRPr="00050FA9" w:rsidRDefault="00050FA9" w:rsidP="00050FA9">
      <w:pPr>
        <w:shd w:val="clear" w:color="auto" w:fill="FFFFFF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Суть </w:t>
      </w:r>
      <w:r w:rsidRPr="00050FA9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безготівкових розрахунків 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t>полягає в тому, що пла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тежі здійснюють шляхом списання коштів із банківського ра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хунку платника і зарахування їх на банківський рахунок одер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жувача, тобто проведенням відповідних записів на банківських рахунках обох учасників розрахунків. Підставою для здійснен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ня безготівкових розрахунків є подання до банку спеціальних розрахункових документів (платіжного доручення, платіжної вимоги-доручення, реєстру документів за акредитивом, реєст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ру чеків тощо) на паперових носіях або в електронному вигляді, використовуючи програмно-технічний комплекс "клієнт-банк".</w:t>
      </w:r>
    </w:p>
    <w:p w:rsidR="00601785" w:rsidRPr="00543573" w:rsidRDefault="00601785" w:rsidP="006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Клієнти банків для здійснення розрахунків самостійно обирають платіжні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інструменти (за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винятком меморіального ордера) і зазначають їх під час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укладення договорів.</w:t>
      </w: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4D0642" w:rsidRDefault="004D0642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5A52CD" w:rsidRPr="004D0642" w:rsidRDefault="005A52CD" w:rsidP="004D0642">
      <w:pPr>
        <w:shd w:val="clear" w:color="auto" w:fill="FFFFFF"/>
        <w:spacing w:after="0"/>
        <w:ind w:firstLine="540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t>Більшість розрахункових операцій підприємства здійсню</w:t>
      </w: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ють у безготівковій формі. Застосування безготівкової форми розрахунків дає змогу знизити витрати на транспортування і зберігання готівки та на її облік, зменшує тривалість прове</w:t>
      </w: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дення розрахунків, підвищує рівень контролю за цільовим ви</w:t>
      </w: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користанням грошових коштів.</w:t>
      </w:r>
    </w:p>
    <w:p w:rsidR="004D0642" w:rsidRP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0642">
        <w:rPr>
          <w:rFonts w:ascii="Times New Roman" w:hAnsi="Times New Roman"/>
          <w:sz w:val="26"/>
          <w:szCs w:val="26"/>
          <w:lang w:val="uk-UA"/>
        </w:rPr>
        <w:t>Безготівкові розрахунки- система грошових розрахунків, які здійснюються без участі готівки, тобто перераховуванням банком певної суми з рахунків платників на рахунки одаржувачів коштів або заліком взаємних вимог.</w:t>
      </w:r>
    </w:p>
    <w:p w:rsidR="004D0642" w:rsidRDefault="004D0642" w:rsidP="004D0642">
      <w:pPr>
        <w:pStyle w:val="Normale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Значення безготівкових розрахунків полягає в: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прискоренні обігу грошових коштів;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зменшення потреби в готівці;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зменшення витрат на проведення касових операцій, збереженні грошей;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сприяння акумуляцій тимчасово вільних коштів юридичних та фізичних осіб на рахунках в банка (вони є кредитними ресурсами).</w:t>
      </w:r>
    </w:p>
    <w:p w:rsidR="004D0642" w:rsidRDefault="004D0642" w:rsidP="004D0642">
      <w:pPr>
        <w:pStyle w:val="Normale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Безготівкові розрахунки організовують за такими принуипами: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правовий режим здійснення розрахунків і платежів;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здійснення розрахунків тільки через установи банків і під їх контролем;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обовяхкове зберігання коштів у банках, за винятком залишків готівки в касах клієнтів у межах встановлених лімітів;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самостійних (вільний) вибір форм розрахунків та платіжних інструментів;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</w:pPr>
      <w:r>
        <w:rPr>
          <w:rFonts w:ascii="Times New Roman" w:hAnsi="Times New Roman"/>
          <w:sz w:val="26"/>
          <w:szCs w:val="26"/>
          <w:lang w:val="ru-RU"/>
        </w:rPr>
        <w:t xml:space="preserve">здійснення платежів на підставі укладених договорів про розрахунково-касове обслуговування за дорученням клієнта, за його згодою </w:t>
      </w:r>
      <w:r>
        <w:rPr>
          <w:rFonts w:ascii="Times New Roman" w:hAnsi="Times New Roman"/>
          <w:sz w:val="26"/>
          <w:szCs w:val="26"/>
        </w:rPr>
        <w:t>(акцептом);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проведення платежів при наявності на поточному рахунку клієнта вільних коштів або коли є право на одержання кредиту;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самостійне нарахування платниками пені за несвоєчасно сплачені нимисуми податкового боргу;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відповідальність клієнтів за достовірність змісту платіжного документа, повноту і своєчасність сплати податків, зборів та обовязкових платежів (за вийнятком випадків, передбачених нормативно-правовими актами НБУ).</w:t>
      </w:r>
    </w:p>
    <w:p w:rsidR="004D0642" w:rsidRDefault="004D0642" w:rsidP="004D0642">
      <w:pPr>
        <w:pStyle w:val="Normale"/>
        <w:tabs>
          <w:tab w:val="left" w:pos="567"/>
        </w:tabs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Організація безготівкових розрахунків повинна відповідати таким вимогам:</w:t>
      </w:r>
    </w:p>
    <w:p w:rsidR="004D0642" w:rsidRDefault="004D0642" w:rsidP="004D0642">
      <w:pPr>
        <w:pStyle w:val="Paragrafoelenco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забезпечувати своєчасність платежу за реалізовані товари і послуги;</w:t>
      </w:r>
    </w:p>
    <w:p w:rsidR="004D0642" w:rsidRDefault="004D0642" w:rsidP="004D0642">
      <w:pPr>
        <w:pStyle w:val="Paragrafoelenco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створювати умови для взаємного контролю платника і одержувачів коштів за дотримання розрахункової і договірної дисципліни, а також для банківського контролю за учасниками розрахунків;</w:t>
      </w:r>
    </w:p>
    <w:p w:rsidR="004D0642" w:rsidRDefault="004D0642" w:rsidP="004D0642">
      <w:pPr>
        <w:pStyle w:val="Paragrafoelenco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сприяти зближенню моментів отримання і оплати товарно-матеріальних цінностей.</w:t>
      </w:r>
    </w:p>
    <w:p w:rsidR="004D0642" w:rsidRDefault="004D0642" w:rsidP="004D0642">
      <w:pPr>
        <w:pStyle w:val="Normale"/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Виділяють наступні способи безготівкових розрахунків:</w:t>
      </w:r>
    </w:p>
    <w:p w:rsidR="004D0642" w:rsidRDefault="004D0642" w:rsidP="004D0642">
      <w:pPr>
        <w:pStyle w:val="Paragrafoelenco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операції комерційних банків з організації розрахунків і обслуговування платіжного обороту підприємств і організай</w:t>
      </w:r>
    </w:p>
    <w:p w:rsidR="004D0642" w:rsidRDefault="004D0642" w:rsidP="004D0642">
      <w:pPr>
        <w:pStyle w:val="Paragrafoelenco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шляхом перераховування коштів з рахунків платників на рахунки одержувачів;</w:t>
      </w:r>
    </w:p>
    <w:p w:rsidR="004D0642" w:rsidRDefault="004D0642" w:rsidP="004D0642">
      <w:pPr>
        <w:pStyle w:val="Paragrafoelenco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шляхом зарахування взаємних вимог.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здійсненні безготівкових розрахунків можуть застосовуватись акредитивна,інкасова, вексельна форма розрахунків, а також форма розрахунків за розрахунковими чеками та з використанням розрахункових документівна паперових носіях та в електронному вигляді.</w:t>
      </w:r>
    </w:p>
    <w:p w:rsidR="004D0642" w:rsidRPr="00D90C9F" w:rsidRDefault="004D0642" w:rsidP="004D0642">
      <w:pPr>
        <w:pStyle w:val="Normale"/>
        <w:spacing w:after="0"/>
        <w:ind w:firstLine="567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Згідно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Законом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України</w:t>
      </w:r>
      <w:r w:rsidRPr="004D0642">
        <w:rPr>
          <w:rFonts w:ascii="Times New Roman" w:hAnsi="Times New Roman"/>
          <w:sz w:val="26"/>
          <w:szCs w:val="26"/>
        </w:rPr>
        <w:t xml:space="preserve"> “</w:t>
      </w:r>
      <w:r>
        <w:rPr>
          <w:rFonts w:ascii="Times New Roman" w:hAnsi="Times New Roman"/>
          <w:sz w:val="26"/>
          <w:szCs w:val="26"/>
          <w:lang w:val="ru-RU"/>
        </w:rPr>
        <w:t>Про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платіжні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системита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переказ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грошей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Україні</w:t>
      </w:r>
      <w:r w:rsidRPr="004D0642">
        <w:rPr>
          <w:rFonts w:ascii="Times New Roman" w:hAnsi="Times New Roman"/>
          <w:sz w:val="26"/>
          <w:szCs w:val="26"/>
        </w:rPr>
        <w:t xml:space="preserve">” </w:t>
      </w:r>
      <w:r>
        <w:rPr>
          <w:rStyle w:val="Carpredefinitoparagrafo"/>
          <w:rFonts w:ascii="Times New Roman" w:hAnsi="Times New Roman"/>
          <w:b/>
          <w:i/>
          <w:sz w:val="26"/>
          <w:szCs w:val="26"/>
          <w:lang w:val="ru-RU"/>
        </w:rPr>
        <w:t>платіжний</w:t>
      </w:r>
      <w:r w:rsidRPr="004D0642">
        <w:rPr>
          <w:rStyle w:val="Carpredefinitoparagrafo"/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Style w:val="Carpredefinitoparagrafo"/>
          <w:rFonts w:ascii="Times New Roman" w:hAnsi="Times New Roman"/>
          <w:b/>
          <w:i/>
          <w:sz w:val="26"/>
          <w:szCs w:val="26"/>
          <w:lang w:val="ru-RU"/>
        </w:rPr>
        <w:t>інструмент</w:t>
      </w:r>
      <w:r w:rsidRPr="004D064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  <w:lang w:val="ru-RU"/>
        </w:rPr>
        <w:t>це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засіб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певної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форми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паперовому</w:t>
      </w:r>
      <w:r w:rsidRPr="004D06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електронному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чи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іншому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виді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носія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інформації</w:t>
      </w:r>
      <w:r w:rsidRPr="004D06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використання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якого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ініціює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переказ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грошей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відповідного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рахунка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платника</w:t>
      </w:r>
      <w:r w:rsidRPr="004D064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До платіжних інструментів відносяться документи на переказ та спеціальнв платіжні засоби.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Платіжні інструменти що застосовуються при безготівкових розрахунках, базуються переважно на кредитному переказі грошей.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Дебетові інструменти, такі як вексель та чек, застосовуються в безготівкових розрахунках, проте так і не набули значного поширення.</w:t>
      </w:r>
    </w:p>
    <w:p w:rsidR="004D0642" w:rsidRDefault="004D0642" w:rsidP="004D0642">
      <w:pPr>
        <w:pStyle w:val="Normale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Безготівкові розрахунки в Україні можуть здійснюватися із застосуванням платіжних інструментів у формі: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платіжного доручення;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платіжної вимого-доручення;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розрахункового чека;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 на акредитив;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векселя;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платіжної вимоги;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банківські платіжні картки;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меморіального ордера.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Такі платіжні інструменти, як чек, заява на акредитив, вексель, платіжне доручення є традиційними формами безготівкових розрахунків у паперовій формі.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Сучасною формою безготівкових розрахунків є електронні платежі за допомогою пластикових карток. Одним із функціональних призначень пластикових карток є здійснення за їх допомогою платежів. Пластикові картки відіграють ключову роль у переведенні масових платежів на безготівкову основу. Самі по собі вони не є грішми і не здійснюють обігу. Але вони є підтвердженням того, що їхні власники мають на своїх рахунках кошти, які можуть привести в рух за допомогою карток.</w:t>
      </w:r>
    </w:p>
    <w:p w:rsidR="004D0642" w:rsidRDefault="004D0642" w:rsidP="004D0642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Розглянемо конкретні форми безготівкових розрахунків, які проводяться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банками.</w:t>
      </w:r>
    </w:p>
    <w:p w:rsidR="00C41865" w:rsidRPr="00C41865" w:rsidRDefault="00FF4C62" w:rsidP="00C41865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C4186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  <w:t>Акредитив</w:t>
      </w: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- це розрахунковий документ із дорученням однієї кредитної установи іншій здійснити за рахунок спеціально задепонованих коштів оплату товарно-транспортних документів за відвантажений товар.</w:t>
      </w:r>
      <w:r w:rsidR="00C41865" w:rsidRPr="00C4186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Він </w:t>
      </w:r>
      <w:r w:rsidR="00C41865" w:rsidRPr="00C41865">
        <w:rPr>
          <w:rFonts w:ascii="Times New Roman" w:hAnsi="Times New Roman" w:cs="Times New Roman"/>
          <w:sz w:val="26"/>
          <w:szCs w:val="26"/>
          <w:lang w:val="ru-RU"/>
        </w:rPr>
        <w:t>зобов’язаний</w:t>
      </w:r>
      <w:r w:rsidR="00C41865" w:rsidRPr="00C41865">
        <w:rPr>
          <w:sz w:val="26"/>
          <w:szCs w:val="26"/>
          <w:lang w:val="ru-RU"/>
        </w:rPr>
        <w:t>:</w:t>
      </w:r>
    </w:p>
    <w:p w:rsidR="00C41865" w:rsidRPr="00C41865" w:rsidRDefault="00C41865" w:rsidP="00C41865">
      <w:pPr>
        <w:pStyle w:val="af7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6"/>
          <w:szCs w:val="26"/>
        </w:rPr>
      </w:pPr>
      <w:r w:rsidRPr="00C41865">
        <w:rPr>
          <w:sz w:val="26"/>
          <w:szCs w:val="26"/>
        </w:rPr>
        <w:t>виконати платіж третій особі (бенефіціару) за поставлені товари, виконані роботи та надані послуги;</w:t>
      </w:r>
    </w:p>
    <w:p w:rsidR="00C41865" w:rsidRPr="00C41865" w:rsidRDefault="00C41865" w:rsidP="00C41865">
      <w:pPr>
        <w:pStyle w:val="af7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6"/>
          <w:szCs w:val="26"/>
        </w:rPr>
      </w:pPr>
      <w:r w:rsidRPr="00C41865">
        <w:rPr>
          <w:sz w:val="26"/>
          <w:szCs w:val="26"/>
        </w:rPr>
        <w:t>надати повноваження іншому (виконуючому) банку здійснити цей платіж.</w:t>
      </w:r>
    </w:p>
    <w:p w:rsidR="003E3F94" w:rsidRDefault="003E3F94" w:rsidP="00C4186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При здійсненні операцій по акредитиву приймають участь: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lastRenderedPageBreak/>
        <w:t>заявник акредитива – платник, який звернувся до банку, що його обслуговує, для відкриття акредитива;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банк-емітент – банк платника, що відкриває акредитив своєму клієнту;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бенефіціар – особа, на користь якої відкритий акредитив;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виконуючий банк – банк бенефіціара або інший банк, що за дорученням банку-емітента виконує акредитив.</w:t>
      </w:r>
    </w:p>
    <w:p w:rsidR="003E3F94" w:rsidRPr="003E3F94" w:rsidRDefault="003E3F94" w:rsidP="003E3F94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3E3F94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 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пераціях з акредитивами всі учасники мають справу з документами, а не з товарами або послугами, з якими можуть бути пов</w:t>
      </w:r>
      <w:r w:rsidRPr="003E3F94">
        <w:rPr>
          <w:rFonts w:ascii="Times New Roman" w:eastAsia="Times New Roman" w:hAnsi="Times New Roman" w:cs="Times New Roman"/>
          <w:sz w:val="26"/>
          <w:szCs w:val="26"/>
          <w:lang w:val="ru-RU" w:eastAsia="uk-UA" w:bidi="ar-SA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язані ці документи.</w:t>
      </w:r>
    </w:p>
    <w:p w:rsidR="00C41865" w:rsidRPr="00C41865" w:rsidRDefault="00C41865" w:rsidP="00C4186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C4186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 застосовується в розрахунках між постачальниками і покупцями. Документи постачальника оплачуються банком тільки на умовах, передбачених в акредитивній заяві покупця.</w:t>
      </w:r>
    </w:p>
    <w:p w:rsidR="00C41865" w:rsidRPr="00C41865" w:rsidRDefault="00C41865" w:rsidP="00C4186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C4186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Коли використовують акредитивну форму розрахунків, оплата документів за відвантажений товар, надані послуги здійснюється або в банківській установі постачальника за рахунок коштів платника, там задепонованих для цієї мети, або в банку платника - так званий гарантований акредитив. Акредитивна форма розрахунку гарантує платіж постачальнику. Ця форма розрахунків застосовується за наявності угоди між постачальником і платником щодо такої форми розрахунків.</w:t>
      </w:r>
    </w:p>
    <w:p w:rsidR="00C41865" w:rsidRPr="00C41865" w:rsidRDefault="00C41865" w:rsidP="00C41865">
      <w:pPr>
        <w:pStyle w:val="af7"/>
        <w:spacing w:after="0" w:afterAutospacing="0" w:line="276" w:lineRule="auto"/>
        <w:ind w:firstLine="567"/>
        <w:jc w:val="both"/>
        <w:rPr>
          <w:sz w:val="26"/>
          <w:szCs w:val="26"/>
        </w:rPr>
      </w:pPr>
      <w:r w:rsidRPr="00FF4C62">
        <w:rPr>
          <w:sz w:val="26"/>
          <w:szCs w:val="26"/>
        </w:rPr>
        <w:t>Постачальник подає в банк, що його обслуговує, заяву із зазначенням умов використання задепонованих коштів (власних або залучених). Акредитив відкривається для розрахунків тільки з одним конкретним постачальником. Його не можна використовувати для розрахунків з іншими постачальниками чи для виплати грошей готівкою. Чинність акредитива, як правило, не перевищує 15 днів з моменту відкриття. Платнику надано право змінювати умови акредитива, достроково відкликати невикористані кошти. Після повідомлення про відкриття акредитива постачальник відвантажує товар і не пізніше трьох робочих днів після цього подає в установу банку реєстри рахунків і транспортні або інші документи, які підтверджують відвантаження. Коли документи відповідають умовам акредитива, кошти того самого дня зараховуються на рахунок постачальника.</w:t>
      </w:r>
    </w:p>
    <w:p w:rsidR="00C41865" w:rsidRPr="00C41865" w:rsidRDefault="00C41865" w:rsidP="00C41865">
      <w:pPr>
        <w:pStyle w:val="af7"/>
        <w:spacing w:after="0" w:afterAutospacing="0" w:line="276" w:lineRule="auto"/>
        <w:ind w:firstLine="567"/>
        <w:jc w:val="both"/>
        <w:rPr>
          <w:sz w:val="26"/>
          <w:szCs w:val="26"/>
        </w:rPr>
      </w:pPr>
      <w:r w:rsidRPr="00C41865">
        <w:rPr>
          <w:sz w:val="26"/>
          <w:szCs w:val="26"/>
        </w:rPr>
        <w:t xml:space="preserve">Банк емітент може відкривати такі </w:t>
      </w:r>
      <w:r w:rsidRPr="00C41865">
        <w:rPr>
          <w:b/>
          <w:sz w:val="26"/>
          <w:szCs w:val="26"/>
        </w:rPr>
        <w:t>види акредитивів</w:t>
      </w:r>
      <w:r w:rsidRPr="00C41865">
        <w:rPr>
          <w:sz w:val="26"/>
          <w:szCs w:val="26"/>
        </w:rPr>
        <w:t>:</w:t>
      </w:r>
    </w:p>
    <w:p w:rsidR="00C41865" w:rsidRPr="00C41865" w:rsidRDefault="00C41865" w:rsidP="00C41865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C41865">
        <w:rPr>
          <w:sz w:val="26"/>
          <w:szCs w:val="26"/>
        </w:rPr>
        <w:t xml:space="preserve"> </w:t>
      </w:r>
      <w:r w:rsidRPr="00C41865">
        <w:rPr>
          <w:b/>
          <w:i/>
          <w:sz w:val="26"/>
          <w:szCs w:val="26"/>
        </w:rPr>
        <w:t xml:space="preserve">покритий </w:t>
      </w:r>
      <w:r w:rsidRPr="00C41865">
        <w:rPr>
          <w:sz w:val="26"/>
          <w:szCs w:val="26"/>
        </w:rPr>
        <w:t>— акредитив для здійснення платежів, при якому завчасно бронюються кошти платника в повній сумі на окремому рахунку в банку-емітенті або виконуючому банку;</w:t>
      </w:r>
    </w:p>
    <w:p w:rsidR="00C41865" w:rsidRPr="00C41865" w:rsidRDefault="00C41865" w:rsidP="00C41865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C41865">
        <w:rPr>
          <w:sz w:val="26"/>
          <w:szCs w:val="26"/>
        </w:rPr>
        <w:t xml:space="preserve"> </w:t>
      </w:r>
      <w:r w:rsidRPr="00C41865">
        <w:rPr>
          <w:b/>
          <w:i/>
          <w:sz w:val="26"/>
          <w:szCs w:val="26"/>
        </w:rPr>
        <w:t>непокритий</w:t>
      </w:r>
      <w:r w:rsidRPr="00C41865">
        <w:rPr>
          <w:sz w:val="26"/>
          <w:szCs w:val="26"/>
        </w:rPr>
        <w:t xml:space="preserve"> — акредитив, оплата за яким, у разі тимчасової відсутності коштів на рахунку платника гарантується банком-емітентом за рахунок банківського кредиту.</w:t>
      </w:r>
    </w:p>
    <w:p w:rsidR="008F5513" w:rsidRDefault="008F5513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Акредитиви бувають відкличні та невідкличні, про що робиться позначка безпосередньо на бланку акредитива.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 xml:space="preserve">За відсутності такої позначки акредитив вважається </w:t>
      </w:r>
      <w:r w:rsidRPr="008F5513">
        <w:rPr>
          <w:b/>
          <w:sz w:val="26"/>
          <w:szCs w:val="26"/>
        </w:rPr>
        <w:t>невідкличним</w:t>
      </w:r>
      <w:r w:rsidRPr="003E3F94">
        <w:rPr>
          <w:sz w:val="26"/>
          <w:szCs w:val="26"/>
        </w:rPr>
        <w:t>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F5513">
        <w:rPr>
          <w:b/>
          <w:i/>
          <w:sz w:val="26"/>
          <w:szCs w:val="26"/>
        </w:rPr>
        <w:lastRenderedPageBreak/>
        <w:t>Відкличним</w:t>
      </w:r>
      <w:r w:rsidRPr="003E3F94">
        <w:rPr>
          <w:sz w:val="26"/>
          <w:szCs w:val="26"/>
        </w:rPr>
        <w:t xml:space="preserve"> називають акредитив, який може бути змінений або анульований банком-емітентом без попереднього погодження з бенефіціаром (скажімо, у разі недодержання умов, передбачених договором, дострокової відмови банку-емітента від гарантування платежів за акредитивом).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F5513">
        <w:rPr>
          <w:b/>
          <w:i/>
          <w:sz w:val="26"/>
          <w:szCs w:val="26"/>
        </w:rPr>
        <w:t>Невідкличним</w:t>
      </w:r>
      <w:r w:rsidRPr="003E3F94">
        <w:rPr>
          <w:sz w:val="26"/>
          <w:szCs w:val="26"/>
        </w:rPr>
        <w:t xml:space="preserve"> є такий акредитив, котрий може бути змінений або анульований лише за згодою бенефіціара, на користь якого він був відкритий.</w:t>
      </w:r>
    </w:p>
    <w:p w:rsidR="008F5513" w:rsidRDefault="008F5513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Бенефіціар може достроково відмовитися використовувати акредитив, якщо таке передбачено його умовами. Зі своїми пропозиціями про зміну умов акредитива бенефіціар має звернутися до заявника акредитива, а той, у разі згоди, внесе зміни до акредитива через банк-емітент, котрий надсилає потрібне повідомлення виконуючому банку.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Акредитиви в іншому (виконуючому) банку за дорученням банку емітента можуть виконуватися: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 xml:space="preserve">а) </w:t>
      </w:r>
      <w:r w:rsidRPr="008F5513">
        <w:rPr>
          <w:b/>
          <w:i/>
          <w:sz w:val="26"/>
          <w:szCs w:val="26"/>
        </w:rPr>
        <w:t>депоновані</w:t>
      </w:r>
      <w:r w:rsidRPr="003E3F94">
        <w:rPr>
          <w:sz w:val="26"/>
          <w:szCs w:val="26"/>
        </w:rPr>
        <w:t xml:space="preserve"> — списанням коштів з аналітичного рахунку «Розрахунки акредитивами», відкритого у виконуючому банку;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 xml:space="preserve">б) </w:t>
      </w:r>
      <w:r w:rsidRPr="008F5513">
        <w:rPr>
          <w:b/>
          <w:i/>
          <w:sz w:val="26"/>
          <w:szCs w:val="26"/>
        </w:rPr>
        <w:t>гарантовані</w:t>
      </w:r>
      <w:r w:rsidRPr="003E3F94">
        <w:rPr>
          <w:sz w:val="26"/>
          <w:szCs w:val="26"/>
        </w:rPr>
        <w:t xml:space="preserve"> — наданням виконуючому банку права списувати кошти з кореспондентського рахунка банку-емітента, відкритого під час встановлення кореспондентських відносин між банками.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Відносини між банком-емітентом і виконуючим банком регулюються кореспондентськими договорами (угодами), якими передбачається розмір комісійних за авізування та інші витрати, пов’язані з відкриттям і виконанням акредитива, а також відповідальність сторін щодо оплати розрахункових документів згідно з умовами акредитива.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Кожний акредитив призначається для розрахунків лише з одним бенефіціаром і не може бути переадресований.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Для відкриття акредитива підприємство подає банку-емітенту заяву, де має зазначити: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назву заявника та бенефіціара, їх ідентифікаційні коди за Єдиним державним реєстром підприємств і організацій України;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назву банку-емітента та банку, який виконує акредитив;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вид акредитива;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строк дії акредитива (число і місяць закриття акредитива у виконуючому банку);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суму акредитива;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дату і номер договору (угоди), яким передбачається відкриття акредитива;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умови акредитива (види товарів, які оплачуються, розрахункові документи, порядок оплати цих документів — з акцептом уповноваженого платника або без акцепту і т. ін.).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lastRenderedPageBreak/>
        <w:t>Зазначені реквізити є обов’язковими і за відсутності одного з них акредитив не відкривається.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Умови акредитива мають бути складені так, щоб вони, з одного боку, давали змогу банкам без ускладнень їх проконтролювати, з іншого — забезпечували б інтереси сторін, які використовують акредитивну форму розрахунків.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Акредитив має містити лише ті умови, які можуть бути перевірені банками документально.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Для відкриття акредитива, депонованого у виконуючому банку, платник подає заяву в 4-х примірниках. Перший примірник заяви виконує роль меморіального документа і підшивається в документи дня банку, другий використовується як додаток до позабалансового рахунку № 9802, третій видається заявникові як розписка банку про відкриття акредитива з необхідними позначками банку, четвертий може бути використаний для інформування виконуючого банку про умови акредитива і надсилається йому за допомогою засобів спецзв’язку або у вигляді повідомлення іншими лініями зв’язку.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У разі відкриття акредитива, депонованого у банку-емітенті, заявник перераховує дорученням кошти зі свого рахунку на аналітичний рахунок «Розрахунки акредитивами» в банку-емітенті на підставі поданої заяви про відкриття акредитива.</w:t>
      </w:r>
    </w:p>
    <w:p w:rsidR="00C41865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Заява про відкриття акредитива подається в 3-х примірниках. Перший примірник заяви разом з першим примірником платіжного доручення в банку-емітенті підшивають до документів дня, другий видають заявникові як розписку банку про відкриття акредитива, третій надсилають за допомогою засобів спецзв’язку до виконуючого банку для зарахування на позабалансовий рахунок № 9802 Акредитиви до сплати.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Схему </w:t>
      </w:r>
      <w:r w:rsidRPr="009D1FC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>здійснення розрахунків з використанням акредитивної форми</w:t>
      </w: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наведено на рис. 2.4. 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9D1FC3">
        <w:rPr>
          <w:rFonts w:ascii="Times New Roman" w:eastAsia="Times New Roman" w:hAnsi="Times New Roman" w:cs="Times New Roman"/>
          <w:noProof/>
          <w:sz w:val="26"/>
          <w:szCs w:val="26"/>
          <w:lang w:val="uk-UA" w:eastAsia="uk-UA" w:bidi="ar-SA"/>
        </w:rPr>
        <w:drawing>
          <wp:inline distT="0" distB="0" distL="0" distR="0">
            <wp:extent cx="4171950" cy="1717150"/>
            <wp:effectExtent l="19050" t="0" r="0" b="0"/>
            <wp:docPr id="2" name="Рисунок 1" descr="Розрахунок з використанням акредит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рахунок з використанням акредити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1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C3" w:rsidRPr="009D1FC3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1 - покупець доручає банку, що його обслуговує, відкрити акредитив; 2 - банк покупця відкриває акредитив; 3 - банк покупця сповіщає покупця про відкриття акредитива; 4 - банк покупця повідомляє банк постачальника про відкриття </w:t>
      </w: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lastRenderedPageBreak/>
        <w:t>акредитива постачальнику на конкретну суму; 5 - банк постачальника сповіщає постачальника про відкриття акредитива; 6 - відвантаження товару; 7 - покупець повідомляє банк про виконання умови акредитива, тобто дає наказ на розкриття акредитива; 8 - банк покупця переказує банку постачальника суму коштів з акредитива; 9 - банк постачальника зараховує кошти на рахунок постачальника; 10 - банк постачальника повідомляє про це свого клієнта.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Акредитивна форма розрахунку дає постачальнику впевненість, що відвантажений товар буде своєчасно оплачено.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Для постачальників (отримувачів коштів) акредитивна форма розрахунків надійна, відносно проста і приваблива, оскільки гарантує оплату.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Покупцям розрахунки з використанням акредитива не вигідні, бо на певний час кошти вилучаються з обороту, що погіршує фінансове становище підприємств-покупців. </w:t>
      </w:r>
    </w:p>
    <w:p w:rsidR="00FF4C62" w:rsidRPr="00FF4C62" w:rsidRDefault="00FF4C62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Підставою для відкриття акредитива платником є повідомлення постачальника про готовність до відвантаження товару. Для відкриття акредитива платник подає в банк заяву встановленого зразка з необхідними реквізитами (номер договору, згідно з яким відкривається акредитив; термін чинності акредитива; рахунок платника і банк, який його обслуговує; документи, згідно з якими здійснюються виплати за акредитивом; строк їх подання; вид акредитива та сума акредитива).</w:t>
      </w:r>
    </w:p>
    <w:p w:rsidR="00FF026F" w:rsidRPr="009D1FC3" w:rsidRDefault="00FF026F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9D1FC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Банки повинні здійснювати контроль за строком дії акредитивів. Усі акредитиви повинні передбачати дату закінчення строків і місце представлення документів для платежу. Дата, зазначена в заяві на акредитив, є останнім днем для подання бенефіціаром до оплати реєстру документів за акредитивом та документів, передбачених умовами акредитива.</w:t>
      </w:r>
    </w:p>
    <w:p w:rsidR="00FF4C62" w:rsidRPr="00FF4C62" w:rsidRDefault="00FF4C62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Закриття акредитива в банку постачальника здійснюється: </w:t>
      </w:r>
    </w:p>
    <w:p w:rsidR="00FF4C62" w:rsidRPr="00FF4C62" w:rsidRDefault="00FF4C62" w:rsidP="009D1FC3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на заяву постачальника щодо відмови від дальшого використання акредитива до закінчення терміну його чинності;</w:t>
      </w:r>
    </w:p>
    <w:p w:rsidR="00FF4C62" w:rsidRPr="00FF4C62" w:rsidRDefault="00FF4C62" w:rsidP="009D1FC3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після закінчення терміну чинності акредитива;</w:t>
      </w:r>
    </w:p>
    <w:p w:rsidR="00FF4C62" w:rsidRPr="00FF4C62" w:rsidRDefault="00FF4C62" w:rsidP="009D1FC3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на заяву покупця про відкликання акредитива повністю або частково.</w:t>
      </w:r>
    </w:p>
    <w:p w:rsidR="00FF4C62" w:rsidRPr="009D1FC3" w:rsidRDefault="00FF4C62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Акредитив закривається в день отримання повідомлення від банку-емітента. Невикористана сума акредитива повертається банку платника для зарахування на рахунок, з якого депонувалися кошти. </w:t>
      </w:r>
    </w:p>
    <w:p w:rsidR="003E3F94" w:rsidRDefault="003E3F94" w:rsidP="00C4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</w:p>
    <w:p w:rsidR="00FF4C62" w:rsidRDefault="00FF4C62">
      <w:pPr>
        <w:rPr>
          <w:lang w:val="uk-UA"/>
        </w:rPr>
      </w:pPr>
    </w:p>
    <w:p w:rsidR="00543573" w:rsidRPr="00543573" w:rsidRDefault="00020B3B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lastRenderedPageBreak/>
        <w:t xml:space="preserve">Важливою </w:t>
      </w:r>
      <w:r w:rsidR="00543573"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формою, за допомогою якої списуються кошти з рахунка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="00543573"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платника, є меморіальний ордер.</w:t>
      </w:r>
    </w:p>
    <w:p w:rsidR="00543573" w:rsidRPr="00543573" w:rsidRDefault="00543573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Меморіальний ордер — це міжбанківський розрахунковий документ, який у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передбачених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інструкцією випадках складається банком під час здійснення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розрахунків для документального оформлення операцій щодо списання коштів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з рахунка платника, операцій з виконання письмового доручення платника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або розпорядження стягувача щодо списання коштів з рахунка платника.</w:t>
      </w:r>
    </w:p>
    <w:p w:rsidR="00543573" w:rsidRPr="00543573" w:rsidRDefault="00543573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Факт списання коштів з рахунка платника документально оформляється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меморіальним ордером (залежно від конкретного випадку) для:</w:t>
      </w:r>
    </w:p>
    <w:p w:rsidR="00020B3B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часткової оплати розрахункових документів; 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документального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підтвердження операцій з перерахування з банківських рахунків на користь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клієнтів-одержувачів (фізичних та юридичних осіб) внесених до каси банку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коштів; перерахування коштів, зарахованих на рахунок “Кредитні суми для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з’ясування”;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перерахування банком коштів для вжиття заходів щодо виконання рішення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(ухвали) суду, санкціонованої прокурором постанови слідчого, постанови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державного виконавця про арешт коштів на рахунку;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виконання банком платіжних доручень платника в довільній формі;                                 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перерахування банком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коштів при закритті акредитива;</w:t>
      </w:r>
    </w:p>
    <w:p w:rsidR="00020B3B" w:rsidRPr="00487A05" w:rsidRDefault="00020B3B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списання банком коштів з рахунку свого клієнта відповідно до наказу про примусову сплату боргового зобов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ru-RU" w:eastAsia="uk-UA" w:bidi="ar-SA"/>
        </w:rPr>
        <w:t>’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язання у разі несвоєчасного погашення клієнтом кредиту або відсотків за його користування, якщо це передбачено в кредитному договорі.</w:t>
      </w:r>
    </w:p>
    <w:p w:rsidR="00543573" w:rsidRPr="00543573" w:rsidRDefault="00543573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Дата складання меморіального ордера має відповідати даті списання коштів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з рахунка платника. 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Меморіальний ордер засвідчується підписами відповідального виконавця банку, який його оформив, і працівника, на якого покладено функції контролера, та відбитком штампа банку.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                     </w:t>
      </w:r>
    </w:p>
    <w:p w:rsidR="00FF4C62" w:rsidRDefault="00FF4C6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39E7" w:rsidRDefault="004D39E7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39E7" w:rsidRDefault="004D39E7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39E7" w:rsidRDefault="004D39E7" w:rsidP="004D39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ВИСНОВОК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При здійсненні розрахунків готівкою підприємства (отримувачі платежу) зобов’язані надавати підприємствам-платникам податкову накладну, рахунок-фактуру, товарний чек, акт виконаних робіт, квитанцію прибуткового касового ордера, касовий чек та інші документи, які б підтверджували факт витрати готівки. Це визначено «Положенням про ведення касових операцій в національній валюті в Україні».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Розрахунки між підприємствами і організаціями здійснюють як правило, у безготівковій формі через банк, що визначено </w:t>
      </w:r>
      <w:r w:rsidRPr="001E6BD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 xml:space="preserve">“ 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Інструкцією про безготівкові розрахунки в Україні в національній валюті», яка затверджена постановою Правління Національного банку України 27 січня 2004 p. № 22.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Безготівкові розрахунки — перерахування певної суми з рахунків платників на рахунки отримувачів коштів, а також перерахування банками за дорученням підприємств і фізичних осіб коштів, унесених ними готівкою в касу банку, на рахунки отриму-жгіів коштів. Ці розрахунки проводяться банком на підставі розрахункових документів.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Безготівкові розрахунки проводять із використанням платіжних інструментів у формі: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  <w:tab w:val="left" w:pos="1418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меморіального ордера;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платіжного доручення;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ла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т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іжної вимоги-доручення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платіжної вимоги;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розрахункового чека;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акредитива;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банківських платіжних карток;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векселів.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Підприємства вільно вибирають форми розрахунків, закріплю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ють їх у договорах, угодах чи окремих домовленостях. Найбільш поширені розрахунки</w:t>
      </w:r>
      <w:r w:rsidRPr="001E6BD3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 платіжними дорученнями.</w:t>
      </w:r>
    </w:p>
    <w:p w:rsidR="001E6BD3" w:rsidRPr="001E6BD3" w:rsidRDefault="001E6BD3" w:rsidP="001E6B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 xml:space="preserve">Акредитив 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— це договір, що містить зобов'язання банку-емітента, за яким цей банк за дорученням клієнта (заявника акредитива) або від свого імені проти документів, які відповідають умовам акредитива, зобов'яза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ний виконати платіж на користь бенефіціара або доручає іншому (викону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ючому) банку здійснити цей платіж.</w:t>
      </w:r>
    </w:p>
    <w:p w:rsidR="001E6BD3" w:rsidRPr="001E6BD3" w:rsidRDefault="001E6BD3" w:rsidP="001E6B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Акредитивну форму розрахунків найчастіше використовують при об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слуговуванні зовнішньоекономічної діяльності клієнтів. Відповідно розріз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няють дві форми акредитива: імпортний акредитив та експортний.</w:t>
      </w:r>
    </w:p>
    <w:p w:rsidR="004D0642" w:rsidRPr="004D0642" w:rsidRDefault="004D0642" w:rsidP="001E6B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D0642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 xml:space="preserve">Меморіальний ордер </w:t>
      </w:r>
      <w:r w:rsidRPr="004D064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— це розрахунковий документ, який складається за ініціативою банку для оформлення операцій щодо списання коштів з ра</w:t>
      </w:r>
      <w:r w:rsidRPr="004D064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хунка платника і внутрішньобанківських операцій відповідно до чинного законодавства.</w:t>
      </w:r>
    </w:p>
    <w:p w:rsidR="004D0642" w:rsidRPr="004D0642" w:rsidRDefault="004D0642" w:rsidP="001E6BD3">
      <w:pPr>
        <w:shd w:val="clear" w:color="auto" w:fill="FFFFFF"/>
        <w:spacing w:after="0"/>
        <w:ind w:firstLine="540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4D0642" w:rsidRPr="001E6BD3" w:rsidRDefault="004D0642" w:rsidP="004D39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D0642" w:rsidRPr="001E6BD3" w:rsidSect="008F2E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4F" w:rsidRDefault="00FC2D4F" w:rsidP="00FC2D4F">
      <w:pPr>
        <w:spacing w:after="0" w:line="240" w:lineRule="auto"/>
      </w:pPr>
      <w:r>
        <w:separator/>
      </w:r>
    </w:p>
  </w:endnote>
  <w:endnote w:type="continuationSeparator" w:id="0">
    <w:p w:rsidR="00FC2D4F" w:rsidRDefault="00FC2D4F" w:rsidP="00FC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4F" w:rsidRDefault="00FC2D4F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4F" w:rsidRDefault="00FC2D4F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4F" w:rsidRDefault="00FC2D4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4F" w:rsidRDefault="00FC2D4F" w:rsidP="00FC2D4F">
      <w:pPr>
        <w:spacing w:after="0" w:line="240" w:lineRule="auto"/>
      </w:pPr>
      <w:r>
        <w:separator/>
      </w:r>
    </w:p>
  </w:footnote>
  <w:footnote w:type="continuationSeparator" w:id="0">
    <w:p w:rsidR="00FC2D4F" w:rsidRDefault="00FC2D4F" w:rsidP="00FC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4F" w:rsidRDefault="00FC2D4F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4F" w:rsidRPr="00FC2D4F" w:rsidRDefault="00FC2D4F" w:rsidP="00FC2D4F">
    <w:pPr>
      <w:pStyle w:val="afa"/>
      <w:jc w:val="center"/>
      <w:rPr>
        <w:rFonts w:ascii="Tahoma" w:hAnsi="Tahoma"/>
        <w:b/>
        <w:color w:val="B3B3B3"/>
        <w:sz w:val="14"/>
      </w:rPr>
    </w:pPr>
    <w:hyperlink r:id="rId1" w:history="1">
      <w:r w:rsidRPr="00FC2D4F">
        <w:rPr>
          <w:rStyle w:val="afe"/>
          <w:rFonts w:ascii="Tahoma" w:hAnsi="Tahoma"/>
          <w:b/>
          <w:color w:val="B3B3B3"/>
          <w:sz w:val="14"/>
        </w:rPr>
        <w:t>http://antibotan.com/</w:t>
      </w:r>
    </w:hyperlink>
    <w:r w:rsidRPr="00FC2D4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4F" w:rsidRDefault="00FC2D4F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C41"/>
    <w:multiLevelType w:val="hybridMultilevel"/>
    <w:tmpl w:val="A17A5A4C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5B5ECE"/>
    <w:multiLevelType w:val="multilevel"/>
    <w:tmpl w:val="B5A2946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43DD2E58"/>
    <w:multiLevelType w:val="multilevel"/>
    <w:tmpl w:val="2EF24D4A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">
    <w:nsid w:val="46C95AD1"/>
    <w:multiLevelType w:val="multilevel"/>
    <w:tmpl w:val="7A244B7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4">
    <w:nsid w:val="538D03EE"/>
    <w:multiLevelType w:val="multilevel"/>
    <w:tmpl w:val="CB16A1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E151F37"/>
    <w:multiLevelType w:val="hybridMultilevel"/>
    <w:tmpl w:val="C4569408"/>
    <w:lvl w:ilvl="0" w:tplc="E8269C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F1564D8"/>
    <w:multiLevelType w:val="multilevel"/>
    <w:tmpl w:val="21365F62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>
    <w:nsid w:val="65203DFF"/>
    <w:multiLevelType w:val="multilevel"/>
    <w:tmpl w:val="2A70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B27D0"/>
    <w:multiLevelType w:val="multilevel"/>
    <w:tmpl w:val="6A8E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11F10"/>
    <w:multiLevelType w:val="hybridMultilevel"/>
    <w:tmpl w:val="BBF89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C62"/>
    <w:rsid w:val="00020B3B"/>
    <w:rsid w:val="00050FA9"/>
    <w:rsid w:val="000F74A7"/>
    <w:rsid w:val="00194B15"/>
    <w:rsid w:val="001E6BD3"/>
    <w:rsid w:val="003E3F94"/>
    <w:rsid w:val="00437993"/>
    <w:rsid w:val="004449AE"/>
    <w:rsid w:val="00486E73"/>
    <w:rsid w:val="00487A05"/>
    <w:rsid w:val="004D0642"/>
    <w:rsid w:val="004D39E7"/>
    <w:rsid w:val="00543573"/>
    <w:rsid w:val="005601A5"/>
    <w:rsid w:val="005A52CD"/>
    <w:rsid w:val="00601785"/>
    <w:rsid w:val="008F2E11"/>
    <w:rsid w:val="008F5513"/>
    <w:rsid w:val="009D1FC3"/>
    <w:rsid w:val="00A5738E"/>
    <w:rsid w:val="00B41C3F"/>
    <w:rsid w:val="00B82574"/>
    <w:rsid w:val="00C41865"/>
    <w:rsid w:val="00D90462"/>
    <w:rsid w:val="00DC5770"/>
    <w:rsid w:val="00E64E56"/>
    <w:rsid w:val="00F526D9"/>
    <w:rsid w:val="00FC2D4F"/>
    <w:rsid w:val="00FF026F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4"/>
  </w:style>
  <w:style w:type="paragraph" w:styleId="1">
    <w:name w:val="heading 1"/>
    <w:basedOn w:val="a"/>
    <w:next w:val="a"/>
    <w:link w:val="10"/>
    <w:uiPriority w:val="9"/>
    <w:qFormat/>
    <w:rsid w:val="00B825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5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5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5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57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57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57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57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57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7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57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257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257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8257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257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8257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257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8257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8257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8257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B8257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825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ідзаголовок Знак"/>
    <w:basedOn w:val="a0"/>
    <w:link w:val="a6"/>
    <w:uiPriority w:val="11"/>
    <w:rsid w:val="00B8257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82574"/>
    <w:rPr>
      <w:b/>
      <w:color w:val="C0504D" w:themeColor="accent2"/>
    </w:rPr>
  </w:style>
  <w:style w:type="character" w:styleId="a9">
    <w:name w:val="Emphasis"/>
    <w:uiPriority w:val="20"/>
    <w:qFormat/>
    <w:rsid w:val="00B8257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82574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B82574"/>
  </w:style>
  <w:style w:type="paragraph" w:styleId="ac">
    <w:name w:val="List Paragraph"/>
    <w:basedOn w:val="a"/>
    <w:uiPriority w:val="34"/>
    <w:qFormat/>
    <w:rsid w:val="00B8257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82574"/>
    <w:rPr>
      <w:i/>
    </w:rPr>
  </w:style>
  <w:style w:type="character" w:customStyle="1" w:styleId="ae">
    <w:name w:val="Цитація Знак"/>
    <w:basedOn w:val="a0"/>
    <w:link w:val="ad"/>
    <w:uiPriority w:val="29"/>
    <w:rsid w:val="00B8257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B8257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Насичена цитата Знак"/>
    <w:basedOn w:val="a0"/>
    <w:link w:val="af"/>
    <w:uiPriority w:val="30"/>
    <w:rsid w:val="00B8257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B82574"/>
    <w:rPr>
      <w:i/>
    </w:rPr>
  </w:style>
  <w:style w:type="character" w:styleId="af2">
    <w:name w:val="Intense Emphasis"/>
    <w:uiPriority w:val="21"/>
    <w:qFormat/>
    <w:rsid w:val="00B8257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B82574"/>
    <w:rPr>
      <w:b/>
    </w:rPr>
  </w:style>
  <w:style w:type="character" w:styleId="af4">
    <w:name w:val="Intense Reference"/>
    <w:uiPriority w:val="32"/>
    <w:qFormat/>
    <w:rsid w:val="00B8257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825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B82574"/>
    <w:pPr>
      <w:outlineLvl w:val="9"/>
    </w:pPr>
  </w:style>
  <w:style w:type="paragraph" w:styleId="af7">
    <w:name w:val="Normal (Web)"/>
    <w:basedOn w:val="a"/>
    <w:uiPriority w:val="99"/>
    <w:semiHidden/>
    <w:unhideWhenUsed/>
    <w:rsid w:val="00FF4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styleId="af8">
    <w:name w:val="Balloon Text"/>
    <w:basedOn w:val="a"/>
    <w:link w:val="af9"/>
    <w:uiPriority w:val="99"/>
    <w:semiHidden/>
    <w:unhideWhenUsed/>
    <w:rsid w:val="00FF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F4C6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43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uk-UA"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43573"/>
    <w:rPr>
      <w:rFonts w:ascii="Courier New" w:eastAsia="Times New Roman" w:hAnsi="Courier New" w:cs="Courier New"/>
      <w:lang w:val="uk-UA" w:eastAsia="uk-UA" w:bidi="ar-SA"/>
    </w:rPr>
  </w:style>
  <w:style w:type="paragraph" w:customStyle="1" w:styleId="Normale">
    <w:name w:val="Normale"/>
    <w:rsid w:val="004D0642"/>
    <w:pPr>
      <w:suppressAutoHyphens/>
      <w:autoSpaceDN w:val="0"/>
      <w:jc w:val="left"/>
      <w:textAlignment w:val="baseline"/>
    </w:pPr>
    <w:rPr>
      <w:rFonts w:ascii="Calibri" w:eastAsia="Calibri" w:hAnsi="Calibri" w:cs="Times New Roman"/>
      <w:sz w:val="22"/>
      <w:szCs w:val="22"/>
      <w:lang w:val="it-IT" w:bidi="ar-SA"/>
    </w:rPr>
  </w:style>
  <w:style w:type="paragraph" w:customStyle="1" w:styleId="Paragrafoelenco">
    <w:name w:val="Paragrafo elenco"/>
    <w:basedOn w:val="Normale"/>
    <w:rsid w:val="004D0642"/>
    <w:pPr>
      <w:ind w:left="720"/>
    </w:pPr>
  </w:style>
  <w:style w:type="character" w:customStyle="1" w:styleId="Carpredefinitoparagrafo">
    <w:name w:val="Car. predefinito paragrafo"/>
    <w:rsid w:val="004D0642"/>
  </w:style>
  <w:style w:type="paragraph" w:styleId="afa">
    <w:name w:val="header"/>
    <w:basedOn w:val="a"/>
    <w:link w:val="afb"/>
    <w:uiPriority w:val="99"/>
    <w:unhideWhenUsed/>
    <w:rsid w:val="00FC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FC2D4F"/>
  </w:style>
  <w:style w:type="paragraph" w:styleId="afc">
    <w:name w:val="footer"/>
    <w:basedOn w:val="a"/>
    <w:link w:val="afd"/>
    <w:uiPriority w:val="99"/>
    <w:unhideWhenUsed/>
    <w:rsid w:val="00FC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rsid w:val="00FC2D4F"/>
  </w:style>
  <w:style w:type="character" w:styleId="afe">
    <w:name w:val="Hyperlink"/>
    <w:basedOn w:val="a0"/>
    <w:uiPriority w:val="99"/>
    <w:unhideWhenUsed/>
    <w:rsid w:val="00FC2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FA4E-743B-4FB4-8F74-F41A621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2321</Words>
  <Characters>16572</Characters>
  <Application>Microsoft Office Word</Application>
  <DocSecurity>0</DocSecurity>
  <Lines>385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11</cp:revision>
  <dcterms:created xsi:type="dcterms:W3CDTF">2012-09-30T08:09:00Z</dcterms:created>
  <dcterms:modified xsi:type="dcterms:W3CDTF">2013-04-06T13:04:00Z</dcterms:modified>
</cp:coreProperties>
</file>