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8" w:rsidRPr="00E123D5" w:rsidRDefault="00412F78" w:rsidP="00D003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Сутність </w:t>
      </w:r>
      <w:proofErr w:type="gramStart"/>
      <w:r w:rsidRPr="00E123D5">
        <w:rPr>
          <w:rFonts w:ascii="Times New Roman" w:eastAsia="Times New Roman" w:hAnsi="Times New Roman" w:cs="Times New Roman"/>
          <w:b/>
          <w:bCs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b/>
          <w:bCs/>
          <w:sz w:val="28"/>
          <w:szCs w:val="28"/>
        </w:rPr>
        <w:t>ігії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Оскільки основним предметом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ігієзнавства є релігія, то цілком закономірно постає питання про зміст цього поняття. Відповідь на нього складна й неоднозначна, адже існує не лише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ізне змістове наповнення, а й кілька варіантів етимологічного тлумачення латинського слова religio.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Етимологія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ігії. В основі різних тлумачень цього поняття - варіанти римського філософа й оратора Цицерона (106 - 43 до н. є.) і раннього християнського мислителя Лактанція (приблизно 250 — 325). Цицерон виводив згаданий термін від латинського слова relegere, що означало «йти назад, повертатися, обдумувати, збирати, споглядати, боятися» і характеризувало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ігію як «богобоязливість, страх і пошанування богів». Лактанцій вважав, що слово religio походить від латинського religare, що означало «в´язати, зв´язувати, прив´язувати», а стосовно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ігії — «зв´язок із Богом, служіння йому і покора через благочестя». Ця точка зору й закріпилася, принаймні у християнській культурі.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Сучасні українські та російські словники латинське слово religio тлумачать як «набожність, святиня, предмет культу» або «совісність, добросовісність», «совісне ставлення до священного, яке охоплює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ігійні почуття, благочестя, набожність, богошанування, культ».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>У китайській мові для позначення феномена, що в європейській культурі називається словом «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ігія», використовується слово Chiao — «вчення».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У сучасній арабській вживається назва din, яка означає безумовне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ідпорядкування безмежній владі Аллаха, віддання себе Богу, вдосконалення щирості віри. Din може тлумачитися як іман («віра, вірити»), іслам («покірність»), іхсан («совісність, чистосердечність, вдосконалення в щирості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віри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Сучасна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ігієзнавча література має понад сімдесят визначень поняття «релігія» і десятки теорій її виникнення, що є достатнім доказом того, що це поняття слід розглядати скоріше як збірну назву, ніж позначення однорідного й цільного явища. Тож не існує єдиного визначення поняття «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ігія». Але є єдність у тому, що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ігія як феномен нерозривно пов´язана із людським буттям, сутністю людини. Один із засновників філософської антропології М. Шелер був упевнений, що справжня людина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 з «Богошукача». Російський філософ і психолог Семен Франк (1877—1950) писав, що людина є людиною, бо вона має боголюдську природу. Людина не просто знає Бога, був переконаний мислитель, ці знання є її суттєвою ознакою, тому людину можна визначити як істоту, що має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ідомий внутрішній зв´язок із Богом.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>Справді, те, що людина пов´язана з релігією, сумніві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 не викликає. Але визначення глибини цього відношення є справою нелегкою. Адже як неможливо відновити ситуації, коли, наприклад, не було мови, так і не відновити в історії періоду абсолютної відсутності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ігійних поглядів. Нині годі й шукати єдиної усталеної відповіді щодо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ігії, оскільки знайти визначення, яке однаково підходило б і до вірувань фінікіян, що спалювали своїх дітей на догоду божеству; і до вірувань вавилонян, що посилали у храм </w:t>
      </w:r>
      <w:r w:rsidRPr="00E123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Астарти своїх дочок і дружин займатися проституцією; і до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ігії християн, яка вимагає, щоб люди віддавали своє життя за ближнього; і до релігії буддизму, в основі якої лежить, по суті, повний атеїзм. Ось чому дати універсальне визначення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ігії, яке б розкривало її природу, багатоманітну функціональність й історичну змінність, неможливо.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Загальні ознаки </w:t>
      </w:r>
      <w:proofErr w:type="gramStart"/>
      <w:r w:rsidRPr="00E123D5">
        <w:rPr>
          <w:rFonts w:ascii="Times New Roman" w:eastAsia="Times New Roman" w:hAnsi="Times New Roman" w:cs="Times New Roman"/>
          <w:b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b/>
          <w:sz w:val="28"/>
          <w:szCs w:val="28"/>
        </w:rPr>
        <w:t xml:space="preserve">ігій. Усі </w:t>
      </w:r>
      <w:proofErr w:type="gramStart"/>
      <w:r w:rsidRPr="00E123D5">
        <w:rPr>
          <w:rFonts w:ascii="Times New Roman" w:eastAsia="Times New Roman" w:hAnsi="Times New Roman" w:cs="Times New Roman"/>
          <w:b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b/>
          <w:sz w:val="28"/>
          <w:szCs w:val="28"/>
        </w:rPr>
        <w:t>ігії мають кілька загальних ознак.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1. Визнання надлюдської реальності, надприродного, Бога. Без цієї ознаки не могло б існувати жодне віровчення. Тому багато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ідників пояснюють природу та походження релігії, виходячи з ідеї Бога як «фундаментальної даності».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ігія виникла й існує, твердять вони, тільки тому, що є Бог і є людина, яка здатна за певних умов його сприймати. Ідея Бога не могла б бути наявною у свідомості людини без існування Бога. Російський філософ і священик Олександр Мень (1935 - 1990), обґрунтовуючи надприродну сутність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ігії, підкреслював, що релігія є відповіддю людини на прояв у ній Божої сутності. Все у світі має певне реальне підґрунтя, коріння. Зокрема, розмірковував він, ніхто не стане заперечувати того, що потреби нашого тіла є об´єктивно життєво необхідними. Якщо ж дух людини віками прагнув до краси, добра і чогось вищого, гідного поклоніння,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то чи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 правильно буде бачити в цьому лише оману? Чи не природніше визнати, що, подібно до того, як тіло пов´язане з об´єктивним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ітом природи, дух тяжіє до спорідненої і водночас значно вищої від нього реальності. Цей зв´язок, на думку Меня, здійснюється через особливий вид духовного пізнання — релігійний досвід. Його він визначає як переживання, пов´язане з почуттям реальної присутності у нашому житті вищого начала,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яке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 спрямовує нас і є причиною всього сущого.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2. Ідея визволення, порятунку (спасіння), в основі якої лежить віра у безсмертя душі.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ігія, як зазначав російський православний богослов і філософ Павло Флоренський (1882—1937), рятує нас, рятує наш внутрішній світ від хаосу, що причаївся в ньому. Якщо онтологічно, розмірковував він,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ігія є життям нас у Бозі і Бога в нас, то на рівні повсякдення — це система дій і переживань, які забезпечують душі рівновагу та порятунок.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>3. Тлумачення природи людини виходять із того, що:</w:t>
      </w:r>
    </w:p>
    <w:p w:rsidR="00412F78" w:rsidRPr="00E123D5" w:rsidRDefault="00412F78" w:rsidP="00D003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людина має свободу дій, тобто вона не є запрограмованою машиною; її помилки чи вчинене зло є наслідками цієї свободи; </w:t>
      </w:r>
    </w:p>
    <w:p w:rsidR="00412F78" w:rsidRPr="00E123D5" w:rsidRDefault="00412F78" w:rsidP="00D003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людина бере участь у творенні шляхом самовдосконалення та навчання інших; </w:t>
      </w:r>
    </w:p>
    <w:p w:rsidR="00412F78" w:rsidRPr="00E123D5" w:rsidRDefault="00412F78" w:rsidP="00D003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людське життя не обмежується земним існуванням. 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2F78" w:rsidRPr="00D4723E" w:rsidRDefault="00412F78" w:rsidP="00D47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4. Спільна основа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ігійного знання, яку називають вічною мудрістю чи вічною філософією. Вона є результатом глибинного осягнення сутності життя. Попри плин часу вічна мудрість віками залишалася незмінною у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ізних культурах, втілюючись у вченнях великих мудреців усіх часів і народів. Безмежна за обширом і бездонна за глибиною, ця скарбниця мудрості містить у собі міркування щодо природи життя і любові, здоров´я і щастя, страждання і спасіння</w:t>
      </w:r>
      <w:r w:rsidR="00D472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2F78" w:rsidRPr="00D4723E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2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 Універсальні духовні практики, покликані допомогти людині відкрити власну душу, взаємозв´язок із божественним, тобто сприяти осягненню надбань вічної філософії. Серед цих практик виокремлюють сім вічних: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зміна мотивації: вивільнення від пристрастей, жадань та пошук бажань власної душі; 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розвиток емоційної мудрості: зцілення власного серця і навчання любові; 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моральне життя: відчуття приємності від продукування добра; 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концентрація й заспокоєння власного розуму; 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пробудження духовного бачення: навчання чіткому баченню у всьому божественного; 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виховання духовного розуму: розвиток мудрості; </w:t>
      </w:r>
    </w:p>
    <w:p w:rsidR="00412F78" w:rsidRPr="00E123D5" w:rsidRDefault="00412F78" w:rsidP="00D003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вияв духу в дії: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ізнавання великодушності й радості від служіння. </w:t>
      </w:r>
    </w:p>
    <w:p w:rsidR="00412F78" w:rsidRPr="00E123D5" w:rsidRDefault="00412F78" w:rsidP="00D0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Духовні практики сприяють розвитку глибоких станів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ідомості, мудрості, любові. Вони є необхідними для розуміння життя і нас самих.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Кожному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 відома деструктивна сила таких почуттів, як страх, ненависть. Практики протиставляють їм методи нейтралізації і водночас пропонують шляхи розвитку благотворних емоцій — любові, співчуття, сприяючи народженню мудрості. Практика ж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 xml:space="preserve">ідомого сприяння іншим людям зменшує такі руйнівні спонукання, як жадоба, ненаситність, і виховує протилежні риси — доброзичливість і безкорисливість. Отже, </w:t>
      </w:r>
      <w:proofErr w:type="gramStart"/>
      <w:r w:rsidRPr="00E123D5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E123D5">
        <w:rPr>
          <w:rFonts w:ascii="Times New Roman" w:eastAsia="Times New Roman" w:hAnsi="Times New Roman" w:cs="Times New Roman"/>
          <w:sz w:val="28"/>
          <w:szCs w:val="28"/>
        </w:rPr>
        <w:t>ігія є складним духовним феноменом, який не лише виражає віру людини в існування надприродного начала, Бога, що є джерелом буття всього існуючого, а й виступає для неї засобом спілкування з ним і суттєвим чинником її духовного зростання.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</w:tblGrid>
      <w:tr w:rsidR="00D003C4" w:rsidRPr="00E123D5" w:rsidTr="00D003C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003C4" w:rsidRPr="00E123D5" w:rsidRDefault="00062988" w:rsidP="00D0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D003C4" w:rsidRPr="00E123D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 xml:space="preserve">Структура </w:t>
              </w:r>
              <w:proofErr w:type="gramStart"/>
              <w:r w:rsidR="00D003C4" w:rsidRPr="00E123D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рел</w:t>
              </w:r>
              <w:proofErr w:type="gramEnd"/>
              <w:r w:rsidR="00D003C4" w:rsidRPr="00E123D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ігії</w:t>
              </w:r>
            </w:hyperlink>
            <w:r w:rsidR="00D003C4" w:rsidRPr="00E12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003C4" w:rsidRPr="00E123D5" w:rsidRDefault="00D003C4" w:rsidP="00D003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03C4" w:rsidRPr="00E123D5" w:rsidTr="00D003C4">
        <w:trPr>
          <w:tblCellSpacing w:w="15" w:type="dxa"/>
        </w:trPr>
        <w:tc>
          <w:tcPr>
            <w:tcW w:w="0" w:type="auto"/>
            <w:hideMark/>
          </w:tcPr>
          <w:p w:rsidR="00D003C4" w:rsidRPr="00E123D5" w:rsidRDefault="00D003C4" w:rsidP="00D0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Будь-яка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ігія являє собою єдність релігійної свідомості, культу і релігійних організацій.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ігійна свідомість має два рівні: релігійна доктрина і релігійна психологія людей.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ігійний культ являє собою відношення людей до вищих неземним силам і проявляється через богослужіння, жертвопринесення, обряди, свята, паломництва. У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ігійному культі об'єктом культової діяльності виступає вища сила, предметом культу стає ця сила, втілена в релігійних образах. Суб'єктом культу виступає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ігійна група або окрема людина. Мотивом участі в культі виступає потреба в духовному звільнення, подоланні страждань, задоволення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ігійних сподівань. Як засоби культу виступають храми, мечеті, святилища,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ізні культові предмети, церковне начиння, предмети релігійного мистецтва (архітектура, скульптура, живопис). Способи культової діяльності - це певна система і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ідовність проведення релігійних заходів на рівні суспільства, групи людей, сім'ї або окремої людини в храмі, церкви, будинки або у культовому місці. Способи культової діяльності залежать насамперед від релігійної свідомості людей. </w:t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ігійні організації - дуже складні освіти. Вони можуть займати панівне становище в певній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чи конфесії, грати другорядну роль або взагалі зазнавати гонінь.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ігійні організації можуть з часом оформитися в </w:t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самостійні релігії, можуть утворювати альянси, входити в об'єднання, поради і т. д. </w:t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вітчизняному релігієзнавстві виділяють три види релігійних організацій: наприклад, у християнстві - церква, секта і деномінація. Цей поділ щодо умовно. Церква включає більшість чи значну частину населення країни або території. У православ'ї і католицизмі є ієрархія служителі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культу.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Секта (від лат.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Sequor - "слідувати") - загальна назва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ігійних віровчень, що відкололися від панівної церкви. В давнину сектами називали групи або школи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ідовників релігійних філософів. З появою християнства сектантами стали називати послідовників навчань, засуджених панівною церквою. У секті священство, як правило, відсутня, лідерство є харизматичним. У секті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ізко виражене прагнення до духовного відродження членів, ознакою якого вважається дотримання певного морального кодексу і релігійних приписів. Для деномінації характерно прийняття різнопланових ідей, культових практик і релігій. У деномінації, як і в церкві, є чітка організація, яка координує діяльність громад, і ієрархія управління. Проте члени деномінації не діляться на священиків і мирян, тут є авторитетні служителі культу. </w:t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східних конфесіях в ряді випадку відсутні чіткі рамки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ігійних організацій. Наприклад, у Китаї багато людей сповідують даосизм, конфуціанство і буддизм одночасно, а в Японії - буддизм і синтоїзм. У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ізних життєвих ситуаціях і при вирішенні різних завдань вони звертаються до різних релігій. В індуїзмі взагалі відсутня чітка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ігійна організація. В Індії є ряд духовних шкіл і рухів, що не відповідають критеріям ні одного з трьох видів релігійних організацій. Наприклад, рух "Золотий вік" Вчителі Кальки Бхагавана розраховане на людей усіх віросповідань, обох статей,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ізного віку і професій. Для Бхагавана головне, щоб вони хотіли бути просвітленими, жити в любові і гармонії, без страждань і допомагати іншим людям </w:t>
            </w:r>
            <w:proofErr w:type="gramStart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 роботі над собою, над своїм духовним вдосконаленням.</w:t>
            </w:r>
          </w:p>
        </w:tc>
      </w:tr>
    </w:tbl>
    <w:p w:rsidR="00D57C3F" w:rsidRPr="00E123D5" w:rsidRDefault="00D57C3F" w:rsidP="00D003C4">
      <w:pPr>
        <w:spacing w:after="0"/>
        <w:rPr>
          <w:sz w:val="28"/>
          <w:szCs w:val="28"/>
        </w:rPr>
      </w:pPr>
    </w:p>
    <w:sectPr w:rsidR="00D57C3F" w:rsidRPr="00E123D5" w:rsidSect="00C2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F9"/>
    <w:multiLevelType w:val="multilevel"/>
    <w:tmpl w:val="917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A66A5"/>
    <w:multiLevelType w:val="multilevel"/>
    <w:tmpl w:val="31B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42357"/>
    <w:multiLevelType w:val="multilevel"/>
    <w:tmpl w:val="720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12F78"/>
    <w:rsid w:val="00062988"/>
    <w:rsid w:val="00412F78"/>
    <w:rsid w:val="00C2127A"/>
    <w:rsid w:val="00D003C4"/>
    <w:rsid w:val="00D4723E"/>
    <w:rsid w:val="00D57C3F"/>
    <w:rsid w:val="00E1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A"/>
  </w:style>
  <w:style w:type="paragraph" w:styleId="2">
    <w:name w:val="heading 2"/>
    <w:basedOn w:val="a"/>
    <w:link w:val="20"/>
    <w:uiPriority w:val="9"/>
    <w:qFormat/>
    <w:rsid w:val="0041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F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0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l-tur.ru/statti/nauka/struktura-religi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2011-05-19T22:13:00Z</dcterms:created>
  <dcterms:modified xsi:type="dcterms:W3CDTF">2011-05-20T08:01:00Z</dcterms:modified>
</cp:coreProperties>
</file>