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9C" w:rsidRPr="005E2F9C" w:rsidRDefault="005E2F9C" w:rsidP="005E2F9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E2F9C">
        <w:rPr>
          <w:rFonts w:ascii="Times New Roman" w:hAnsi="Times New Roman" w:cs="Times New Roman"/>
          <w:b/>
          <w:sz w:val="28"/>
          <w:szCs w:val="28"/>
        </w:rPr>
        <w:t>Розділ 11. Опис переліку змісту інформаційних потоків, необхідних для забезпечення ефективного менеджменту і моніторингу процесу</w:t>
      </w:r>
    </w:p>
    <w:p w:rsidR="005E2F9C" w:rsidRPr="00140540" w:rsidRDefault="005E2F9C" w:rsidP="005E2F9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DC65DA">
        <w:rPr>
          <w:sz w:val="28"/>
          <w:szCs w:val="28"/>
          <w:u w:val="single"/>
          <w:lang w:val="uk-UA"/>
        </w:rPr>
        <w:t>Моніторинг</w:t>
      </w:r>
      <w:r>
        <w:rPr>
          <w:sz w:val="28"/>
          <w:szCs w:val="28"/>
          <w:lang w:val="uk-UA"/>
        </w:rPr>
        <w:t xml:space="preserve"> – це</w:t>
      </w:r>
      <w:r w:rsidRPr="00140540">
        <w:rPr>
          <w:sz w:val="28"/>
          <w:szCs w:val="28"/>
          <w:lang w:val="uk-UA"/>
        </w:rPr>
        <w:t xml:space="preserve"> система збору даних про складні явища, які описуються за допомогою певних ключових показників з метою оперативної діагностики стану об'єкта дослідження, відстеження тенденцій і динаміки змін, що відбуваються в них, і на цій основі прийняття оптимальних управлінських рішень.</w:t>
      </w:r>
    </w:p>
    <w:p w:rsidR="005E2F9C" w:rsidRDefault="005E2F9C" w:rsidP="005E2F9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40540">
        <w:rPr>
          <w:sz w:val="28"/>
          <w:szCs w:val="28"/>
          <w:lang w:val="uk-UA"/>
        </w:rPr>
        <w:t>Моніторинг використовується в різних сферах діяльності та являє собою систему послідовного збору даних про явище, процес, що описується за допомогою певних ключових показників, з метою оперативної діагностики стану об'єкта, його дослідження та оцінки в динаміці.</w:t>
      </w:r>
    </w:p>
    <w:p w:rsidR="005E2F9C" w:rsidRDefault="005E2F9C" w:rsidP="005E2F9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Існують різні підходи до визначення системи показників процесів. Перший можливий підхід полягає у встановленні системи загальних (універсальних) показників, які характеризують будь-який процес.</w:t>
      </w:r>
    </w:p>
    <w:p w:rsidR="00BD5B2D" w:rsidRDefault="005E2F9C" w:rsidP="00BD5B2D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 підхід полягає в описі процесу через систему спеціальних показників, що характеризуються його. У даній розрахунковій роботі я використовувала другий підхід.</w:t>
      </w:r>
    </w:p>
    <w:p w:rsidR="00BD5B2D" w:rsidRPr="00BD5B2D" w:rsidRDefault="00BD5B2D" w:rsidP="00BD5B2D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6690">
        <w:rPr>
          <w:rFonts w:ascii="Times New Roman" w:hAnsi="Times New Roman"/>
          <w:b/>
          <w:sz w:val="28"/>
          <w:szCs w:val="28"/>
        </w:rPr>
        <w:t>Оцінювання я</w:t>
      </w:r>
      <w:r>
        <w:rPr>
          <w:rFonts w:ascii="Times New Roman" w:hAnsi="Times New Roman"/>
          <w:b/>
          <w:sz w:val="28"/>
          <w:szCs w:val="28"/>
        </w:rPr>
        <w:t>кості ключових процесів ВКФ «Світязь</w:t>
      </w:r>
      <w:r w:rsidRPr="0010669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960"/>
        <w:gridCol w:w="5280"/>
        <w:gridCol w:w="1440"/>
        <w:gridCol w:w="960"/>
        <w:gridCol w:w="960"/>
        <w:gridCol w:w="960"/>
        <w:gridCol w:w="960"/>
      </w:tblGrid>
      <w:tr w:rsidR="00BD5B2D" w:rsidRPr="00BD5B2D" w:rsidTr="00BD5B2D">
        <w:trPr>
          <w:trHeight w:val="9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 для оцінювання якості ключових процесів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Ваговий коефіцієнт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у балах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Значення показників процесу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B2D" w:rsidRPr="00BD5B2D" w:rsidRDefault="00BD5B2D" w:rsidP="00BD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B2D" w:rsidRPr="00BD5B2D" w:rsidRDefault="00BD5B2D" w:rsidP="00BD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B2D" w:rsidRPr="00BD5B2D" w:rsidRDefault="00BD5B2D" w:rsidP="00BD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B2D" w:rsidRPr="00BD5B2D" w:rsidRDefault="00BD5B2D" w:rsidP="00BD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балах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інших 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1. Дослідити стан споживчого ринку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Рівень розуміння потреб споживачів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Рівень передбачення майбутніх потреб споживачів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2. Розробка бізнес-процесу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відповідності бізнес-процесу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зручності використання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Default="00692280" w:rsidP="00BD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margin-left:41.5pt;margin-top:105.15pt;width:272.25pt;height:.75pt;z-index:251660288;mso-position-horizontal-relative:text;mso-position-vertical-relative:text" o:connectortype="straight"/>
              </w:pict>
            </w:r>
          </w:p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3. Закупка продукції та комплектуючих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вчасних поставок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надійності поставок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цін на сировину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якості сировини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Процес 4. Поставка продукції на склад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вчасних поставок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5. Продаж продукції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продажу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обсягів реалізації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ціни продажу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A93523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A93523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A935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6. Післяпродажне обслуговування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задоволеності споживача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5B2D" w:rsidRPr="00BD5B2D" w:rsidTr="00BD5B2D">
        <w:trPr>
          <w:trHeight w:val="33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7. Управління персоналом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кваліфікації персоналу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підготовки персоналу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компетентності персоналу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8. Управління обладнанням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використання ресурсів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9. Управління збутом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збуту продукції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Якість збуту продукції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5B2D" w:rsidRPr="00BD5B2D" w:rsidTr="00BD5B2D">
        <w:trPr>
          <w:trHeight w:val="34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10. Проведення аудиту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перевірки даних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11. Управління невідповідною продукцією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 невідповідної продукції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692280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67" type="#_x0000_t32" style="position:absolute;left:0;text-align:left;margin-left:-5.75pt;margin-top:32.5pt;width:278.25pt;height:.75pt;z-index:251659264;mso-position-horizontal-relative:text;mso-position-vertical-relative:text" o:connectortype="straight"/>
              </w:pict>
            </w:r>
            <w:r w:rsidR="00BD5B2D"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 витрат на усуненя невідповідностей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12. Управління документацією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обліку документації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розробки документації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13. Управління протоколами якості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аналізу результатів вимірювання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14. Аналіз даних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виконання рішень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відповідності продукції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15. Аналіз вищого керівництва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виконання рішень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особистої участі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5B2D" w:rsidRPr="00BD5B2D" w:rsidTr="00BD5B2D">
        <w:trPr>
          <w:trHeight w:val="31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 16. Прийняття корегуючих рішень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2D" w:rsidRPr="00BD5B2D" w:rsidTr="00BD5B2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692280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41.5pt;margin-top:18.55pt;width:267.75pt;height:0;z-index:251658240;mso-position-horizontal-relative:text;mso-position-vertical-relative:text" o:connectortype="straight"/>
              </w:pict>
            </w:r>
            <w:r w:rsidR="00BD5B2D"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прийнятих рішень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B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5B2D" w:rsidRPr="00BD5B2D" w:rsidTr="00BD5B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2D" w:rsidRPr="00BD5B2D" w:rsidRDefault="00BD5B2D" w:rsidP="00BD5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73C" w:rsidRDefault="00692280">
      <w:pPr>
        <w:rPr>
          <w:lang w:val="uk-UA"/>
        </w:rPr>
      </w:pPr>
    </w:p>
    <w:p w:rsidR="00BD5B2D" w:rsidRDefault="00BD5B2D" w:rsidP="00BD5B2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D5B2D" w:rsidRPr="00BF671C" w:rsidRDefault="00BD5B2D" w:rsidP="00BD5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BF671C" w:rsidRPr="00BF67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671C" w:rsidRPr="00BF671C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F671C">
        <w:rPr>
          <w:rFonts w:ascii="Times New Roman" w:hAnsi="Times New Roman" w:cs="Times New Roman"/>
          <w:i/>
          <w:sz w:val="28"/>
          <w:szCs w:val="28"/>
          <w:lang w:val="uk-UA"/>
        </w:rPr>
        <w:t>цінки процесів життєвого циклу</w:t>
      </w:r>
      <w:r w:rsidR="00BF671C" w:rsidRPr="00BF671C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BF671C">
        <w:rPr>
          <w:rFonts w:ascii="Times New Roman" w:hAnsi="Times New Roman" w:cs="Times New Roman"/>
          <w:sz w:val="28"/>
          <w:szCs w:val="28"/>
        </w:rPr>
        <w:t xml:space="preserve"> відносяться : </w:t>
      </w:r>
    </w:p>
    <w:p w:rsidR="00BD5B2D" w:rsidRPr="00BF671C" w:rsidRDefault="00BD5B2D" w:rsidP="00BD5B2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дослідити стан споживчого ринку (3,6 б);</w:t>
      </w:r>
    </w:p>
    <w:p w:rsidR="00BD5B2D" w:rsidRPr="00BF671C" w:rsidRDefault="00BD5B2D" w:rsidP="00BD5B2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розробка бізнес-плану (3,6 б)</w:t>
      </w:r>
    </w:p>
    <w:p w:rsidR="00BD5B2D" w:rsidRPr="00BF671C" w:rsidRDefault="00BD5B2D" w:rsidP="00BD5B2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закупка продукту та комплектуючих (4,3 б);</w:t>
      </w:r>
    </w:p>
    <w:p w:rsidR="00BD5B2D" w:rsidRPr="00BF671C" w:rsidRDefault="00BD5B2D" w:rsidP="00BD5B2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поставка продукції на склад (3,3 б);</w:t>
      </w:r>
    </w:p>
    <w:p w:rsidR="00BD5B2D" w:rsidRPr="00BF671C" w:rsidRDefault="00BD5B2D" w:rsidP="00BD5B2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продаж продукції(3</w:t>
      </w:r>
      <w:r w:rsidR="00A93523" w:rsidRPr="00BF671C">
        <w:rPr>
          <w:rFonts w:ascii="Times New Roman" w:hAnsi="Times New Roman"/>
          <w:sz w:val="28"/>
          <w:szCs w:val="28"/>
        </w:rPr>
        <w:t>,7</w:t>
      </w:r>
      <w:r w:rsidRPr="00BF671C">
        <w:rPr>
          <w:rFonts w:ascii="Times New Roman" w:hAnsi="Times New Roman"/>
          <w:sz w:val="28"/>
          <w:szCs w:val="28"/>
        </w:rPr>
        <w:t xml:space="preserve"> б);</w:t>
      </w:r>
    </w:p>
    <w:p w:rsidR="00BD5B2D" w:rsidRPr="00BF671C" w:rsidRDefault="00BD5B2D" w:rsidP="00BD5B2D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провести після продажне обслуговування(5 б).</w:t>
      </w:r>
    </w:p>
    <w:p w:rsidR="00BD5B2D" w:rsidRPr="00BF671C" w:rsidRDefault="00BD5B2D" w:rsidP="00BD5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</w:rPr>
        <w:t>В сумі в нас виходить 2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671C">
        <w:rPr>
          <w:rFonts w:ascii="Times New Roman" w:hAnsi="Times New Roman" w:cs="Times New Roman"/>
          <w:sz w:val="28"/>
          <w:szCs w:val="28"/>
        </w:rPr>
        <w:t>,</w:t>
      </w:r>
      <w:r w:rsidR="004B00A2" w:rsidRPr="00BF671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671C">
        <w:rPr>
          <w:rFonts w:ascii="Times New Roman" w:hAnsi="Times New Roman" w:cs="Times New Roman"/>
          <w:sz w:val="28"/>
          <w:szCs w:val="28"/>
        </w:rPr>
        <w:t xml:space="preserve"> бал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671C">
        <w:rPr>
          <w:rFonts w:ascii="Times New Roman" w:hAnsi="Times New Roman" w:cs="Times New Roman"/>
          <w:sz w:val="28"/>
          <w:szCs w:val="28"/>
        </w:rPr>
        <w:t xml:space="preserve">, ділимо на кількість процесів, виходить індивідуальна оцінка процесу життєвого циклу 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F671C">
        <w:rPr>
          <w:rFonts w:ascii="Times New Roman" w:hAnsi="Times New Roman" w:cs="Times New Roman"/>
          <w:sz w:val="28"/>
          <w:szCs w:val="28"/>
        </w:rPr>
        <w:t xml:space="preserve"> </w:t>
      </w:r>
      <w:r w:rsidRPr="00BF671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F671C">
        <w:rPr>
          <w:rFonts w:ascii="Times New Roman" w:hAnsi="Times New Roman" w:cs="Times New Roman"/>
          <w:b/>
          <w:sz w:val="28"/>
          <w:szCs w:val="28"/>
        </w:rPr>
        <w:t>,</w:t>
      </w:r>
      <w:r w:rsidR="00A93523" w:rsidRPr="00BF671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F671C">
        <w:rPr>
          <w:rFonts w:ascii="Times New Roman" w:hAnsi="Times New Roman" w:cs="Times New Roman"/>
          <w:sz w:val="28"/>
          <w:szCs w:val="28"/>
        </w:rPr>
        <w:t xml:space="preserve"> б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алів</w:t>
      </w:r>
      <w:r w:rsidRPr="00BF671C">
        <w:rPr>
          <w:rFonts w:ascii="Times New Roman" w:hAnsi="Times New Roman" w:cs="Times New Roman"/>
          <w:sz w:val="28"/>
          <w:szCs w:val="28"/>
        </w:rPr>
        <w:t>.</w:t>
      </w:r>
    </w:p>
    <w:p w:rsidR="00BD5B2D" w:rsidRPr="00BF671C" w:rsidRDefault="00BD5B2D" w:rsidP="00BD5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</w:rPr>
        <w:t xml:space="preserve">Наступний процес </w:t>
      </w:r>
      <w:r w:rsidRPr="00BF671C">
        <w:rPr>
          <w:rFonts w:ascii="Times New Roman" w:hAnsi="Times New Roman" w:cs="Times New Roman"/>
          <w:i/>
          <w:sz w:val="28"/>
          <w:szCs w:val="28"/>
        </w:rPr>
        <w:t>«</w:t>
      </w:r>
      <w:r w:rsidRPr="00BF671C">
        <w:rPr>
          <w:rFonts w:ascii="Times New Roman" w:hAnsi="Times New Roman" w:cs="Times New Roman"/>
          <w:i/>
          <w:sz w:val="28"/>
          <w:szCs w:val="28"/>
          <w:lang w:val="uk-UA"/>
        </w:rPr>
        <w:t>Оцінка ресурсного забезпечення</w:t>
      </w:r>
      <w:r w:rsidRPr="00BF671C">
        <w:rPr>
          <w:rFonts w:ascii="Times New Roman" w:hAnsi="Times New Roman" w:cs="Times New Roman"/>
          <w:i/>
          <w:sz w:val="28"/>
          <w:szCs w:val="28"/>
        </w:rPr>
        <w:t>»</w:t>
      </w:r>
      <w:r w:rsidRPr="00BF671C">
        <w:rPr>
          <w:rFonts w:ascii="Times New Roman" w:hAnsi="Times New Roman" w:cs="Times New Roman"/>
          <w:sz w:val="28"/>
          <w:szCs w:val="28"/>
        </w:rPr>
        <w:t>:</w:t>
      </w:r>
    </w:p>
    <w:p w:rsidR="00BD5B2D" w:rsidRPr="00BF671C" w:rsidRDefault="00BD5B2D" w:rsidP="004B00A2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управління персоналом (</w:t>
      </w:r>
      <w:r w:rsidR="004B00A2" w:rsidRPr="00BF671C">
        <w:rPr>
          <w:rFonts w:ascii="Times New Roman" w:hAnsi="Times New Roman"/>
          <w:sz w:val="28"/>
          <w:szCs w:val="28"/>
        </w:rPr>
        <w:t>3,6</w:t>
      </w:r>
      <w:r w:rsidRPr="00BF671C">
        <w:rPr>
          <w:rFonts w:ascii="Times New Roman" w:hAnsi="Times New Roman"/>
          <w:sz w:val="28"/>
          <w:szCs w:val="28"/>
        </w:rPr>
        <w:t xml:space="preserve"> б);</w:t>
      </w:r>
    </w:p>
    <w:p w:rsidR="00BD5B2D" w:rsidRPr="00BF671C" w:rsidRDefault="00BD5B2D" w:rsidP="004B00A2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 xml:space="preserve">управління обладнанням </w:t>
      </w:r>
      <w:r w:rsidR="004B00A2" w:rsidRPr="00BF671C">
        <w:rPr>
          <w:rFonts w:ascii="Times New Roman" w:hAnsi="Times New Roman"/>
          <w:sz w:val="28"/>
          <w:szCs w:val="28"/>
        </w:rPr>
        <w:t>(4 б);</w:t>
      </w:r>
    </w:p>
    <w:p w:rsidR="004B00A2" w:rsidRPr="00BF671C" w:rsidRDefault="004B00A2" w:rsidP="004B00A2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управління збутом (3,6).</w:t>
      </w:r>
    </w:p>
    <w:p w:rsidR="00BD5B2D" w:rsidRPr="00BF671C" w:rsidRDefault="00BD5B2D" w:rsidP="00BD5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</w:rPr>
        <w:t>Індивідуальна оцінка цього процессу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</w:t>
      </w:r>
      <w:r w:rsidRPr="00BF671C">
        <w:rPr>
          <w:rFonts w:ascii="Times New Roman" w:hAnsi="Times New Roman" w:cs="Times New Roman"/>
          <w:sz w:val="28"/>
          <w:szCs w:val="28"/>
        </w:rPr>
        <w:t xml:space="preserve"> </w:t>
      </w:r>
      <w:r w:rsidR="004B00A2" w:rsidRPr="00BF671C">
        <w:rPr>
          <w:rFonts w:ascii="Times New Roman" w:hAnsi="Times New Roman" w:cs="Times New Roman"/>
          <w:b/>
          <w:sz w:val="28"/>
          <w:szCs w:val="28"/>
          <w:lang w:val="uk-UA"/>
        </w:rPr>
        <w:t>3,8</w:t>
      </w:r>
      <w:r w:rsidRPr="00BF6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бали</w:t>
      </w:r>
      <w:r w:rsidRPr="00BF671C">
        <w:rPr>
          <w:rFonts w:ascii="Times New Roman" w:hAnsi="Times New Roman" w:cs="Times New Roman"/>
          <w:sz w:val="28"/>
          <w:szCs w:val="28"/>
        </w:rPr>
        <w:t>.</w:t>
      </w:r>
    </w:p>
    <w:p w:rsidR="00BD5B2D" w:rsidRPr="00BF671C" w:rsidRDefault="00BD5B2D" w:rsidP="00BD5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i/>
          <w:sz w:val="28"/>
          <w:szCs w:val="28"/>
        </w:rPr>
        <w:t>Організаційно-управлінські процеси</w:t>
      </w:r>
      <w:r w:rsidRPr="00BF671C">
        <w:rPr>
          <w:rFonts w:ascii="Times New Roman" w:hAnsi="Times New Roman" w:cs="Times New Roman"/>
          <w:sz w:val="28"/>
          <w:szCs w:val="28"/>
        </w:rPr>
        <w:t>:</w:t>
      </w:r>
    </w:p>
    <w:p w:rsidR="00BD5B2D" w:rsidRPr="00BF671C" w:rsidRDefault="00BD5B2D" w:rsidP="00BD5B2D">
      <w:pPr>
        <w:numPr>
          <w:ilvl w:val="0"/>
          <w:numId w:val="1"/>
        </w:numPr>
        <w:tabs>
          <w:tab w:val="clear" w:pos="1260"/>
          <w:tab w:val="num" w:pos="0"/>
        </w:tabs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71C">
        <w:rPr>
          <w:rFonts w:ascii="Times New Roman" w:hAnsi="Times New Roman" w:cs="Times New Roman"/>
          <w:sz w:val="28"/>
          <w:szCs w:val="28"/>
        </w:rPr>
        <w:t>управління документацією (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671C">
        <w:rPr>
          <w:rFonts w:ascii="Times New Roman" w:hAnsi="Times New Roman" w:cs="Times New Roman"/>
          <w:sz w:val="28"/>
          <w:szCs w:val="28"/>
        </w:rPr>
        <w:t>,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F671C">
        <w:rPr>
          <w:rFonts w:ascii="Times New Roman" w:hAnsi="Times New Roman" w:cs="Times New Roman"/>
          <w:sz w:val="28"/>
          <w:szCs w:val="28"/>
        </w:rPr>
        <w:t xml:space="preserve"> б);</w:t>
      </w:r>
    </w:p>
    <w:p w:rsidR="00BD5B2D" w:rsidRPr="00BF671C" w:rsidRDefault="00BD5B2D" w:rsidP="00BD5B2D">
      <w:pPr>
        <w:numPr>
          <w:ilvl w:val="0"/>
          <w:numId w:val="1"/>
        </w:numPr>
        <w:tabs>
          <w:tab w:val="clear" w:pos="1260"/>
          <w:tab w:val="num" w:pos="0"/>
        </w:tabs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</w:rPr>
        <w:t xml:space="preserve"> управління протоколами якості(4 б);</w:t>
      </w:r>
    </w:p>
    <w:p w:rsidR="00BD5B2D" w:rsidRPr="00BF671C" w:rsidRDefault="00BD5B2D" w:rsidP="00BD5B2D">
      <w:pPr>
        <w:numPr>
          <w:ilvl w:val="0"/>
          <w:numId w:val="1"/>
        </w:numPr>
        <w:tabs>
          <w:tab w:val="clear" w:pos="1260"/>
          <w:tab w:val="num" w:pos="0"/>
        </w:tabs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</w:rPr>
        <w:t xml:space="preserve"> управління невідповід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повідною продукцією</w:t>
      </w:r>
      <w:r w:rsidRPr="00BF671C">
        <w:rPr>
          <w:rFonts w:ascii="Times New Roman" w:hAnsi="Times New Roman" w:cs="Times New Roman"/>
          <w:sz w:val="28"/>
          <w:szCs w:val="28"/>
        </w:rPr>
        <w:t>(</w:t>
      </w:r>
      <w:r w:rsidR="004B00A2" w:rsidRPr="00BF671C">
        <w:rPr>
          <w:rFonts w:ascii="Times New Roman" w:hAnsi="Times New Roman" w:cs="Times New Roman"/>
          <w:sz w:val="28"/>
          <w:szCs w:val="28"/>
        </w:rPr>
        <w:t>4</w:t>
      </w:r>
      <w:r w:rsidRPr="00BF671C">
        <w:rPr>
          <w:rFonts w:ascii="Times New Roman" w:hAnsi="Times New Roman" w:cs="Times New Roman"/>
          <w:sz w:val="28"/>
          <w:szCs w:val="28"/>
        </w:rPr>
        <w:t xml:space="preserve"> б);</w:t>
      </w:r>
    </w:p>
    <w:p w:rsidR="00BD5B2D" w:rsidRPr="00BF671C" w:rsidRDefault="00BD5B2D" w:rsidP="00BD5B2D">
      <w:pPr>
        <w:numPr>
          <w:ilvl w:val="0"/>
          <w:numId w:val="1"/>
        </w:numPr>
        <w:tabs>
          <w:tab w:val="clear" w:pos="1260"/>
          <w:tab w:val="num" w:pos="0"/>
        </w:tabs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BF671C">
        <w:rPr>
          <w:rFonts w:ascii="Times New Roman" w:hAnsi="Times New Roman" w:cs="Times New Roman"/>
          <w:sz w:val="28"/>
          <w:szCs w:val="28"/>
        </w:rPr>
        <w:t>наліз з боку вищого</w:t>
      </w:r>
      <w:r w:rsidR="004B00A2" w:rsidRPr="00BF671C">
        <w:rPr>
          <w:rFonts w:ascii="Times New Roman" w:hAnsi="Times New Roman" w:cs="Times New Roman"/>
          <w:sz w:val="28"/>
          <w:szCs w:val="28"/>
        </w:rPr>
        <w:t xml:space="preserve"> керівництва(</w:t>
      </w:r>
      <w:r w:rsidR="004B00A2" w:rsidRPr="00BF671C">
        <w:rPr>
          <w:rFonts w:ascii="Times New Roman" w:hAnsi="Times New Roman" w:cs="Times New Roman"/>
          <w:sz w:val="28"/>
          <w:szCs w:val="28"/>
          <w:lang w:val="uk-UA"/>
        </w:rPr>
        <w:t>3,5</w:t>
      </w:r>
      <w:r w:rsidRPr="00BF671C">
        <w:rPr>
          <w:rFonts w:ascii="Times New Roman" w:hAnsi="Times New Roman" w:cs="Times New Roman"/>
          <w:sz w:val="28"/>
          <w:szCs w:val="28"/>
        </w:rPr>
        <w:t xml:space="preserve"> б);</w:t>
      </w:r>
    </w:p>
    <w:p w:rsidR="00BD5B2D" w:rsidRPr="00BF671C" w:rsidRDefault="00BD5B2D" w:rsidP="00BD5B2D">
      <w:pPr>
        <w:numPr>
          <w:ilvl w:val="0"/>
          <w:numId w:val="1"/>
        </w:numPr>
        <w:tabs>
          <w:tab w:val="clear" w:pos="1260"/>
          <w:tab w:val="num" w:pos="0"/>
        </w:tabs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71C">
        <w:rPr>
          <w:rFonts w:ascii="Times New Roman" w:hAnsi="Times New Roman" w:cs="Times New Roman"/>
          <w:sz w:val="28"/>
          <w:szCs w:val="28"/>
        </w:rPr>
        <w:t>прийнят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671C">
        <w:rPr>
          <w:rFonts w:ascii="Times New Roman" w:hAnsi="Times New Roman" w:cs="Times New Roman"/>
          <w:sz w:val="28"/>
          <w:szCs w:val="28"/>
        </w:rPr>
        <w:t xml:space="preserve"> коригуюч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671C">
        <w:rPr>
          <w:rFonts w:ascii="Times New Roman" w:hAnsi="Times New Roman" w:cs="Times New Roman"/>
          <w:sz w:val="28"/>
          <w:szCs w:val="28"/>
        </w:rPr>
        <w:t xml:space="preserve"> та попереджуюч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671C">
        <w:rPr>
          <w:rFonts w:ascii="Times New Roman" w:hAnsi="Times New Roman" w:cs="Times New Roman"/>
          <w:sz w:val="28"/>
          <w:szCs w:val="28"/>
        </w:rPr>
        <w:t xml:space="preserve"> рішен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BF671C">
        <w:rPr>
          <w:rFonts w:ascii="Times New Roman" w:hAnsi="Times New Roman" w:cs="Times New Roman"/>
          <w:sz w:val="28"/>
          <w:szCs w:val="28"/>
        </w:rPr>
        <w:t>(4 б).</w:t>
      </w:r>
    </w:p>
    <w:p w:rsidR="00BD5B2D" w:rsidRPr="00BF671C" w:rsidRDefault="00BD5B2D" w:rsidP="00BD5B2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</w:rPr>
        <w:t>Індивідуальна оцінка цього процесу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BF671C">
        <w:rPr>
          <w:rFonts w:ascii="Times New Roman" w:hAnsi="Times New Roman" w:cs="Times New Roman"/>
          <w:sz w:val="28"/>
          <w:szCs w:val="28"/>
        </w:rPr>
        <w:t xml:space="preserve"> </w:t>
      </w:r>
      <w:r w:rsidR="004B00A2" w:rsidRPr="00BF671C">
        <w:rPr>
          <w:rFonts w:ascii="Times New Roman" w:hAnsi="Times New Roman" w:cs="Times New Roman"/>
          <w:b/>
          <w:sz w:val="28"/>
          <w:szCs w:val="28"/>
          <w:lang w:val="uk-UA"/>
        </w:rPr>
        <w:t>3,9</w:t>
      </w:r>
      <w:r w:rsidRPr="00BF6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бал</w:t>
      </w:r>
      <w:r w:rsidRPr="00BF671C">
        <w:rPr>
          <w:rFonts w:ascii="Times New Roman" w:hAnsi="Times New Roman" w:cs="Times New Roman"/>
          <w:sz w:val="28"/>
          <w:szCs w:val="28"/>
        </w:rPr>
        <w:t>.</w:t>
      </w:r>
    </w:p>
    <w:p w:rsidR="00BD5B2D" w:rsidRPr="00BF671C" w:rsidRDefault="00BD5B2D" w:rsidP="00BD5B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i/>
          <w:sz w:val="28"/>
          <w:szCs w:val="28"/>
        </w:rPr>
        <w:t xml:space="preserve">Оцінка процесів поліпшення </w:t>
      </w:r>
      <w:r w:rsidRPr="00BF671C">
        <w:rPr>
          <w:rFonts w:ascii="Times New Roman" w:hAnsi="Times New Roman" w:cs="Times New Roman"/>
          <w:sz w:val="28"/>
          <w:szCs w:val="28"/>
        </w:rPr>
        <w:t>включає:</w:t>
      </w:r>
    </w:p>
    <w:p w:rsidR="00BD5B2D" w:rsidRPr="00BF671C" w:rsidRDefault="004B00A2" w:rsidP="00BD5B2D">
      <w:pPr>
        <w:pStyle w:val="1"/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проведення</w:t>
      </w:r>
      <w:r w:rsidR="00BD5B2D" w:rsidRPr="00BF671C">
        <w:rPr>
          <w:rFonts w:ascii="Times New Roman" w:hAnsi="Times New Roman"/>
          <w:sz w:val="28"/>
          <w:szCs w:val="28"/>
        </w:rPr>
        <w:t xml:space="preserve"> аудит</w:t>
      </w:r>
      <w:r w:rsidRPr="00BF671C">
        <w:rPr>
          <w:rFonts w:ascii="Times New Roman" w:hAnsi="Times New Roman"/>
          <w:sz w:val="28"/>
          <w:szCs w:val="28"/>
        </w:rPr>
        <w:t>у (4</w:t>
      </w:r>
      <w:r w:rsidR="00BD5B2D" w:rsidRPr="00BF671C">
        <w:rPr>
          <w:rFonts w:ascii="Times New Roman" w:hAnsi="Times New Roman"/>
          <w:sz w:val="28"/>
          <w:szCs w:val="28"/>
        </w:rPr>
        <w:t xml:space="preserve"> б);</w:t>
      </w:r>
    </w:p>
    <w:p w:rsidR="00BD5B2D" w:rsidRPr="00BF671C" w:rsidRDefault="00BD5B2D" w:rsidP="00BD5B2D">
      <w:pPr>
        <w:pStyle w:val="1"/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BF671C">
        <w:rPr>
          <w:rFonts w:ascii="Times New Roman" w:hAnsi="Times New Roman"/>
          <w:sz w:val="28"/>
          <w:szCs w:val="28"/>
        </w:rPr>
        <w:t>аналіз даних (4</w:t>
      </w:r>
      <w:r w:rsidR="004B00A2" w:rsidRPr="00BF671C">
        <w:rPr>
          <w:rFonts w:ascii="Times New Roman" w:hAnsi="Times New Roman"/>
          <w:sz w:val="28"/>
          <w:szCs w:val="28"/>
        </w:rPr>
        <w:t>,6</w:t>
      </w:r>
      <w:r w:rsidRPr="00BF671C">
        <w:rPr>
          <w:rFonts w:ascii="Times New Roman" w:hAnsi="Times New Roman"/>
          <w:sz w:val="28"/>
          <w:szCs w:val="28"/>
        </w:rPr>
        <w:t xml:space="preserve"> б).</w:t>
      </w:r>
    </w:p>
    <w:p w:rsidR="00BD5B2D" w:rsidRPr="00BF671C" w:rsidRDefault="00BD5B2D" w:rsidP="00BD5B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71C">
        <w:rPr>
          <w:rFonts w:ascii="Times New Roman" w:hAnsi="Times New Roman" w:cs="Times New Roman"/>
          <w:sz w:val="28"/>
          <w:szCs w:val="28"/>
        </w:rPr>
        <w:t xml:space="preserve">Індивідуальна оцінка процесу поліпшення 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F671C">
        <w:rPr>
          <w:rFonts w:ascii="Times New Roman" w:hAnsi="Times New Roman" w:cs="Times New Roman"/>
          <w:sz w:val="28"/>
          <w:szCs w:val="28"/>
        </w:rPr>
        <w:t xml:space="preserve"> </w:t>
      </w:r>
      <w:r w:rsidRPr="00BF67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F671C">
        <w:rPr>
          <w:rFonts w:ascii="Times New Roman" w:hAnsi="Times New Roman" w:cs="Times New Roman"/>
          <w:b/>
          <w:sz w:val="28"/>
          <w:szCs w:val="28"/>
        </w:rPr>
        <w:t>,</w:t>
      </w:r>
      <w:r w:rsidR="004B00A2" w:rsidRPr="00BF671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F6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71C">
        <w:rPr>
          <w:rFonts w:ascii="Times New Roman" w:hAnsi="Times New Roman" w:cs="Times New Roman"/>
          <w:sz w:val="28"/>
          <w:szCs w:val="28"/>
        </w:rPr>
        <w:t>бал</w:t>
      </w:r>
      <w:r w:rsidRPr="00BF671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671C">
        <w:rPr>
          <w:rFonts w:ascii="Times New Roman" w:hAnsi="Times New Roman" w:cs="Times New Roman"/>
          <w:sz w:val="28"/>
          <w:szCs w:val="28"/>
        </w:rPr>
        <w:t>.</w:t>
      </w:r>
    </w:p>
    <w:p w:rsidR="004B00A2" w:rsidRDefault="004B00A2" w:rsidP="00BD5B2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D5B2D" w:rsidRPr="00BF671C" w:rsidRDefault="00BD5B2D" w:rsidP="00BD5B2D">
      <w:pPr>
        <w:spacing w:line="360" w:lineRule="auto"/>
        <w:ind w:firstLine="709"/>
        <w:jc w:val="center"/>
        <w:rPr>
          <w:rFonts w:ascii="Arial Narrow" w:hAnsi="Arial Narrow"/>
          <w:b/>
          <w:i/>
          <w:sz w:val="28"/>
          <w:szCs w:val="28"/>
          <w:lang w:val="uk-UA"/>
        </w:rPr>
      </w:pPr>
      <w:r w:rsidRPr="00BF671C">
        <w:rPr>
          <w:rFonts w:ascii="Arial Narrow" w:hAnsi="Arial Narrow"/>
          <w:b/>
          <w:i/>
          <w:sz w:val="28"/>
          <w:szCs w:val="28"/>
          <w:lang w:val="uk-UA"/>
        </w:rPr>
        <w:lastRenderedPageBreak/>
        <w:t>Зобразимо стан процесів графічно</w:t>
      </w:r>
    </w:p>
    <w:p w:rsidR="00BD5B2D" w:rsidRPr="009E7D34" w:rsidRDefault="00BD5B2D" w:rsidP="00BD5B2D">
      <w:pPr>
        <w:spacing w:line="360" w:lineRule="auto"/>
        <w:ind w:firstLine="709"/>
        <w:jc w:val="center"/>
        <w:rPr>
          <w:sz w:val="28"/>
          <w:szCs w:val="28"/>
        </w:rPr>
      </w:pPr>
    </w:p>
    <w:p w:rsidR="00BD5B2D" w:rsidRDefault="00692280" w:rsidP="00BD5B2D">
      <w:pPr>
        <w:spacing w:line="360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pict>
          <v:group id="_x0000_s1069" editas="canvas" style="width:497.9pt;height:324pt;mso-position-horizontal-relative:char;mso-position-vertical-relative:line" coordorigin="2214,1914" coordsize="7287,4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2214;top:1914;width:7287;height:4713" o:preferrelative="f" filled="t">
              <v:fill o:detectmouseclick="t"/>
              <v:path o:extrusionok="t" o:connecttype="none"/>
              <o:lock v:ext="edit" text="t"/>
            </v:shape>
            <v:line id="_x0000_s1071" style="position:absolute" from="5813,1914" to="5813,6103">
              <v:stroke startarrow="block" endarrow="block"/>
            </v:line>
            <v:line id="_x0000_s1072" style="position:absolute" from="2214,4008" to="9150,4009">
              <v:stroke startarrow="block" endarrow="block"/>
            </v:line>
            <v:line id="_x0000_s1073" style="position:absolute" from="6164,3878" to="6165,4139"/>
            <v:line id="_x0000_s1074" style="position:absolute" from="5638,3747" to="5989,3747"/>
            <v:line id="_x0000_s1075" style="position:absolute" from="5638,4270" to="5990,4271"/>
            <v:line id="_x0000_s1076" style="position:absolute" from="5462,3878" to="5463,4139"/>
            <v:line id="_x0000_s1077" style="position:absolute" from="6516,3878" to="6516,4139"/>
            <v:line id="_x0000_s1078" style="position:absolute" from="6867,3878" to="6867,4139"/>
            <v:line id="_x0000_s1079" style="position:absolute" from="7218,3878" to="7218,4139"/>
            <v:line id="_x0000_s1080" style="position:absolute" from="7569,3878" to="7569,4139"/>
            <v:line id="_x0000_s1081" style="position:absolute" from="5111,3878" to="5111,4139"/>
            <v:line id="_x0000_s1082" style="position:absolute" from="4760,3878" to="4760,4139"/>
            <v:line id="_x0000_s1083" style="position:absolute" from="4408,3878" to="4408,4139"/>
            <v:line id="_x0000_s1084" style="position:absolute" from="4057,3878" to="4058,4139"/>
            <v:line id="_x0000_s1085" style="position:absolute" from="5638,3485" to="5990,3486"/>
            <v:line id="_x0000_s1086" style="position:absolute" from="5638,3223" to="5989,3223"/>
            <v:line id="_x0000_s1087" style="position:absolute" from="5638,2961" to="5989,2961"/>
            <v:line id="_x0000_s1088" style="position:absolute" from="5638,2699" to="5989,2700"/>
            <v:line id="_x0000_s1089" style="position:absolute" from="5638,4532" to="5989,4532"/>
            <v:line id="_x0000_s1090" style="position:absolute" from="5638,4794" to="5989,4794"/>
            <v:line id="_x0000_s1091" style="position:absolute" from="5638,5056" to="5989,5056"/>
            <v:line id="_x0000_s1092" style="position:absolute" from="5638,5318" to="5989,5318"/>
            <v:line id="_x0000_s1093" style="position:absolute;flip:x" from="4058,2699" to="5814,4008">
              <v:stroke dashstyle="longDash"/>
            </v:line>
            <v:line id="_x0000_s1094" style="position:absolute" from="4058,4008" to="5814,5318">
              <v:stroke dashstyle="longDash"/>
            </v:line>
            <v:line id="_x0000_s1095" style="position:absolute" from="5814,2699" to="7570,4008">
              <v:stroke dashstyle="longDash"/>
            </v:line>
            <v:line id="_x0000_s1096" style="position:absolute;flip:x" from="5814,4008" to="7570,5318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2214;top:4139;width:1580;height:524" stroked="f">
              <v:textbox style="mso-next-textbox:#_x0000_s1097">
                <w:txbxContent>
                  <w:p w:rsidR="00BD5B2D" w:rsidRPr="00BF671C" w:rsidRDefault="00BD5B2D" w:rsidP="00BD5B2D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BF671C">
                      <w:rPr>
                        <w:i/>
                        <w:lang w:val="uk-UA"/>
                      </w:rPr>
                      <w:t>Оцінка процесу життєвого циклу</w:t>
                    </w:r>
                  </w:p>
                  <w:p w:rsidR="00BD5B2D" w:rsidRDefault="00BD5B2D" w:rsidP="00BD5B2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Продукції</w:t>
                    </w:r>
                  </w:p>
                  <w:p w:rsidR="00BD5B2D" w:rsidRPr="003B28AC" w:rsidRDefault="00BD5B2D" w:rsidP="00BD5B2D">
                    <w:pPr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98" type="#_x0000_t202" style="position:absolute;left:7570;top:4139;width:1580;height:917" stroked="f">
              <v:textbox style="mso-next-textbox:#_x0000_s1098">
                <w:txbxContent>
                  <w:p w:rsidR="00BD5B2D" w:rsidRPr="00BF671C" w:rsidRDefault="004B00A2" w:rsidP="004B00A2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BF671C">
                      <w:rPr>
                        <w:i/>
                        <w:lang w:val="uk-UA"/>
                      </w:rPr>
                      <w:t xml:space="preserve">Організаційно-управлінські </w:t>
                    </w:r>
                    <w:r w:rsidR="00BD5B2D" w:rsidRPr="00BF671C">
                      <w:rPr>
                        <w:i/>
                        <w:lang w:val="uk-UA"/>
                      </w:rPr>
                      <w:t>процеси</w:t>
                    </w:r>
                  </w:p>
                </w:txbxContent>
              </v:textbox>
            </v:shape>
            <v:shape id="_x0000_s1099" type="#_x0000_t202" style="position:absolute;left:5989;top:2045;width:2020;height:523" stroked="f">
              <v:textbox style="mso-next-textbox:#_x0000_s1099">
                <w:txbxContent>
                  <w:p w:rsidR="00BD5B2D" w:rsidRPr="00BF671C" w:rsidRDefault="00BD5B2D" w:rsidP="00BD5B2D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BF671C">
                      <w:rPr>
                        <w:i/>
                        <w:lang w:val="uk-UA"/>
                      </w:rPr>
                      <w:t>Оцінка процесу управління ресурсами</w:t>
                    </w:r>
                  </w:p>
                </w:txbxContent>
              </v:textbox>
            </v:shape>
            <v:line id="_x0000_s1100" style="position:absolute;flip:x" from="3706,4634" to="4935,5710"/>
            <v:shape id="_x0000_s1101" type="#_x0000_t202" style="position:absolute;left:2564;top:5598;width:2371;height:767" stroked="f">
              <v:textbox style="mso-next-textbox:#_x0000_s1101">
                <w:txbxContent>
                  <w:p w:rsidR="00BD5B2D" w:rsidRPr="00BF671C" w:rsidRDefault="00BD5B2D" w:rsidP="004B00A2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BF671C">
                      <w:rPr>
                        <w:i/>
                        <w:lang w:val="uk-UA"/>
                      </w:rPr>
                      <w:t>Інтегр</w:t>
                    </w:r>
                    <w:r w:rsidR="004B00A2" w:rsidRPr="00BF671C">
                      <w:rPr>
                        <w:i/>
                        <w:lang w:val="uk-UA"/>
                      </w:rPr>
                      <w:t>ована оцінка ідеального ВКФ «Світязь»</w:t>
                    </w:r>
                  </w:p>
                  <w:p w:rsidR="00BD5B2D" w:rsidRPr="004D0176" w:rsidRDefault="00BD5B2D" w:rsidP="00BD5B2D">
                    <w:pPr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shape>
            <v:line id="_x0000_s1102" style="position:absolute" from="4453,4009" to="5814,5187" strokecolor="red" strokeweight="3pt"/>
            <v:line id="_x0000_s1103" style="position:absolute;flip:y" from="5813,4009" to="7161,5187" strokecolor="red" strokeweight="3pt"/>
            <v:line id="_x0000_s1104" style="position:absolute;flip:y" from="4453,3034" to="5814,4008" strokecolor="red" strokeweight="3pt"/>
            <v:line id="_x0000_s1105" style="position:absolute;flip:x y" from="5813,3034" to="7161,4009" strokecolor="red" strokeweight="3pt"/>
            <v:line id="_x0000_s1106" style="position:absolute;flip:x y" from="3443,2830" to="5199,3485"/>
            <v:shape id="_x0000_s1107" type="#_x0000_t202" style="position:absolute;left:2301;top:1914;width:2108;height:916" stroked="f">
              <v:textbox style="mso-next-textbox:#_x0000_s1107">
                <w:txbxContent>
                  <w:p w:rsidR="004B00A2" w:rsidRPr="00BF671C" w:rsidRDefault="00BD5B2D" w:rsidP="004B00A2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BF671C">
                      <w:rPr>
                        <w:i/>
                        <w:lang w:val="uk-UA"/>
                      </w:rPr>
                      <w:t xml:space="preserve">Інтегрована оцінка реального </w:t>
                    </w:r>
                    <w:r w:rsidR="004B00A2" w:rsidRPr="00BF671C">
                      <w:rPr>
                        <w:i/>
                        <w:lang w:val="uk-UA"/>
                      </w:rPr>
                      <w:t>ВКФ «Світязь»</w:t>
                    </w:r>
                  </w:p>
                  <w:p w:rsidR="00BD5B2D" w:rsidRPr="00B91310" w:rsidRDefault="00BD5B2D" w:rsidP="00BD5B2D">
                    <w:pPr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108" type="#_x0000_t202" style="position:absolute;left:6253;top:5711;width:1580;height:916" stroked="f">
              <v:textbox style="mso-next-textbox:#_x0000_s1108">
                <w:txbxContent>
                  <w:p w:rsidR="00BD5B2D" w:rsidRPr="00BF671C" w:rsidRDefault="004B00A2" w:rsidP="004B00A2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BF671C">
                      <w:rPr>
                        <w:i/>
                        <w:lang w:val="uk-UA"/>
                      </w:rPr>
                      <w:t xml:space="preserve">Оцінка </w:t>
                    </w:r>
                    <w:r w:rsidR="00BD5B2D" w:rsidRPr="00BF671C">
                      <w:rPr>
                        <w:i/>
                        <w:lang w:val="uk-UA"/>
                      </w:rPr>
                      <w:t>процесів поліпшення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5B2D" w:rsidRPr="003A57C7" w:rsidRDefault="00A93523" w:rsidP="00BD5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7C7">
        <w:rPr>
          <w:rFonts w:ascii="Times New Roman" w:hAnsi="Times New Roman" w:cs="Times New Roman"/>
          <w:sz w:val="28"/>
          <w:szCs w:val="28"/>
          <w:lang w:val="uk-UA"/>
        </w:rPr>
        <w:t xml:space="preserve">Отже з графіка видно, що </w:t>
      </w:r>
      <w:r w:rsidR="00BD5B2D" w:rsidRPr="003A57C7">
        <w:rPr>
          <w:rFonts w:ascii="Times New Roman" w:hAnsi="Times New Roman" w:cs="Times New Roman"/>
          <w:sz w:val="28"/>
          <w:szCs w:val="28"/>
          <w:lang w:val="uk-UA"/>
        </w:rPr>
        <w:t xml:space="preserve">найбільш критичним процесом </w:t>
      </w:r>
      <w:r w:rsidRPr="003A57C7">
        <w:rPr>
          <w:rFonts w:ascii="Times New Roman" w:hAnsi="Times New Roman" w:cs="Times New Roman"/>
          <w:sz w:val="28"/>
          <w:szCs w:val="28"/>
          <w:lang w:val="uk-UA"/>
        </w:rPr>
        <w:t>на фірмі «Світязь» є процес управління ресурсами</w:t>
      </w:r>
      <w:r w:rsidR="00BD5B2D" w:rsidRPr="003A57C7">
        <w:rPr>
          <w:rFonts w:ascii="Times New Roman" w:hAnsi="Times New Roman" w:cs="Times New Roman"/>
          <w:sz w:val="28"/>
          <w:szCs w:val="28"/>
          <w:lang w:val="uk-UA"/>
        </w:rPr>
        <w:t>, а са</w:t>
      </w:r>
      <w:r w:rsidRPr="003A57C7">
        <w:rPr>
          <w:rFonts w:ascii="Times New Roman" w:hAnsi="Times New Roman" w:cs="Times New Roman"/>
          <w:sz w:val="28"/>
          <w:szCs w:val="28"/>
          <w:lang w:val="uk-UA"/>
        </w:rPr>
        <w:t xml:space="preserve">ме управління персоналом. </w:t>
      </w: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Pr="00ED3869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Удосконалення процесу</w:t>
      </w:r>
    </w:p>
    <w:p w:rsidR="00A93523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93523" w:rsidRPr="005D1DFF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D1DFF">
        <w:rPr>
          <w:rFonts w:ascii="Times New Roman" w:hAnsi="Times New Roman"/>
          <w:sz w:val="28"/>
          <w:szCs w:val="28"/>
        </w:rPr>
        <w:t>Таблиця 11.2</w:t>
      </w:r>
    </w:p>
    <w:tbl>
      <w:tblPr>
        <w:tblpPr w:leftFromText="180" w:rightFromText="180" w:vertAnchor="text" w:horzAnchor="margin" w:tblpY="12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1440"/>
        <w:gridCol w:w="1440"/>
        <w:gridCol w:w="1620"/>
        <w:gridCol w:w="1620"/>
        <w:gridCol w:w="1789"/>
        <w:gridCol w:w="1418"/>
      </w:tblGrid>
      <w:tr w:rsidR="00A93523" w:rsidRPr="005D1DFF" w:rsidTr="00BF671C">
        <w:trPr>
          <w:trHeight w:val="398"/>
        </w:trPr>
        <w:tc>
          <w:tcPr>
            <w:tcW w:w="1130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</w:rPr>
              <w:t>Процес «</w:t>
            </w:r>
            <w:r w:rsidR="003A57C7">
              <w:rPr>
                <w:rFonts w:ascii="Times New Roman" w:eastAsia="Calibri" w:hAnsi="Times New Roman" w:cs="Times New Roman"/>
              </w:rPr>
              <w:t xml:space="preserve">Управління </w:t>
            </w:r>
            <w:r w:rsidR="003A57C7">
              <w:rPr>
                <w:rFonts w:ascii="Times New Roman" w:eastAsia="Calibri" w:hAnsi="Times New Roman" w:cs="Times New Roman"/>
                <w:lang w:val="uk-UA"/>
              </w:rPr>
              <w:t>персоналом</w:t>
            </w:r>
            <w:r w:rsidRPr="005D1DFF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A93523" w:rsidRPr="005D1DFF" w:rsidTr="00BF671C">
        <w:trPr>
          <w:trHeight w:val="415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</w:rPr>
              <w:t>Етап процесу</w:t>
            </w:r>
          </w:p>
        </w:tc>
        <w:tc>
          <w:tcPr>
            <w:tcW w:w="9327" w:type="dxa"/>
            <w:gridSpan w:val="6"/>
            <w:tcBorders>
              <w:bottom w:val="nil"/>
              <w:right w:val="single" w:sz="4" w:space="0" w:color="auto"/>
            </w:tcBorders>
          </w:tcPr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</w:rPr>
              <w:t>Напрями удосконалення</w:t>
            </w:r>
          </w:p>
        </w:tc>
      </w:tr>
      <w:tr w:rsidR="00A93523" w:rsidRPr="005D1DFF" w:rsidTr="00BF671C">
        <w:trPr>
          <w:trHeight w:val="1404"/>
        </w:trPr>
        <w:tc>
          <w:tcPr>
            <w:tcW w:w="360" w:type="dxa"/>
            <w:vMerge/>
          </w:tcPr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3A57C7" w:rsidRDefault="00A93523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</w:rPr>
              <w:t>Ресурсне</w:t>
            </w:r>
          </w:p>
          <w:p w:rsidR="003A57C7" w:rsidRPr="003A57C7" w:rsidRDefault="003A57C7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A93523" w:rsidRPr="005D1DFF">
              <w:rPr>
                <w:rFonts w:ascii="Times New Roman" w:eastAsia="Calibri" w:hAnsi="Times New Roman" w:cs="Times New Roman"/>
              </w:rPr>
              <w:t>абезпеч</w:t>
            </w:r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  <w:p w:rsidR="00A93523" w:rsidRPr="005D1DFF" w:rsidRDefault="00A93523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</w:rPr>
              <w:t>ення</w:t>
            </w:r>
          </w:p>
        </w:tc>
        <w:tc>
          <w:tcPr>
            <w:tcW w:w="1440" w:type="dxa"/>
          </w:tcPr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</w:rPr>
              <w:t>Інформ</w:t>
            </w:r>
            <w:r w:rsidRPr="005D1DFF">
              <w:rPr>
                <w:rFonts w:ascii="Times New Roman" w:eastAsia="Calibri" w:hAnsi="Times New Roman" w:cs="Times New Roman"/>
                <w:lang w:val="uk-UA"/>
              </w:rPr>
              <w:t>а-</w:t>
            </w:r>
            <w:r w:rsidRPr="005D1DFF">
              <w:rPr>
                <w:rFonts w:ascii="Times New Roman" w:eastAsia="Calibri" w:hAnsi="Times New Roman" w:cs="Times New Roman"/>
              </w:rPr>
              <w:t>ційне</w:t>
            </w:r>
          </w:p>
          <w:p w:rsidR="003A57C7" w:rsidRDefault="003A57C7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абезп</w:t>
            </w:r>
            <w:r>
              <w:rPr>
                <w:rFonts w:ascii="Times New Roman" w:eastAsia="Calibri" w:hAnsi="Times New Roman" w:cs="Times New Roman"/>
                <w:lang w:val="uk-UA"/>
              </w:rPr>
              <w:t>е-</w:t>
            </w:r>
          </w:p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</w:rPr>
              <w:t>чення</w:t>
            </w:r>
          </w:p>
        </w:tc>
        <w:tc>
          <w:tcPr>
            <w:tcW w:w="1620" w:type="dxa"/>
          </w:tcPr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</w:rPr>
              <w:t>Управління</w:t>
            </w:r>
          </w:p>
        </w:tc>
        <w:tc>
          <w:tcPr>
            <w:tcW w:w="1620" w:type="dxa"/>
          </w:tcPr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</w:rPr>
              <w:t>Вимірювання і аналіз результатів</w:t>
            </w:r>
          </w:p>
        </w:tc>
        <w:tc>
          <w:tcPr>
            <w:tcW w:w="1789" w:type="dxa"/>
          </w:tcPr>
          <w:p w:rsidR="00A93523" w:rsidRPr="005D1DFF" w:rsidRDefault="00A93523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</w:rPr>
              <w:t>Ефективність процесу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3523" w:rsidRPr="005D1DFF" w:rsidRDefault="00BF671C" w:rsidP="00A935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Відповіда</w:t>
            </w:r>
            <w:r>
              <w:rPr>
                <w:rFonts w:ascii="Times New Roman" w:eastAsia="Calibri" w:hAnsi="Times New Roman" w:cs="Times New Roman"/>
                <w:lang w:val="uk-UA"/>
              </w:rPr>
              <w:t>л</w:t>
            </w:r>
            <w:r w:rsidR="00A93523" w:rsidRPr="005D1DFF">
              <w:rPr>
                <w:rFonts w:ascii="Times New Roman" w:eastAsia="Calibri" w:hAnsi="Times New Roman" w:cs="Times New Roman"/>
              </w:rPr>
              <w:t>ь</w:t>
            </w:r>
            <w:r w:rsidR="00A93523" w:rsidRPr="005D1DFF"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="00A93523" w:rsidRPr="005D1DFF">
              <w:rPr>
                <w:rFonts w:ascii="Times New Roman" w:eastAsia="Calibri" w:hAnsi="Times New Roman" w:cs="Times New Roman"/>
              </w:rPr>
              <w:t>ний за удоскона</w:t>
            </w:r>
            <w:r w:rsidR="00A93523" w:rsidRPr="005D1DFF"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="00A93523" w:rsidRPr="005D1DFF">
              <w:rPr>
                <w:rFonts w:ascii="Times New Roman" w:eastAsia="Calibri" w:hAnsi="Times New Roman" w:cs="Times New Roman"/>
              </w:rPr>
              <w:t>лення</w:t>
            </w:r>
          </w:p>
        </w:tc>
      </w:tr>
      <w:tr w:rsidR="003A57C7" w:rsidRPr="005D1DFF" w:rsidTr="00BF671C">
        <w:trPr>
          <w:trHeight w:val="578"/>
        </w:trPr>
        <w:tc>
          <w:tcPr>
            <w:tcW w:w="360" w:type="dxa"/>
          </w:tcPr>
          <w:p w:rsidR="003A57C7" w:rsidRPr="00B939CE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1620" w:type="dxa"/>
          </w:tcPr>
          <w:p w:rsidR="003A57C7" w:rsidRPr="005D1DFF" w:rsidRDefault="003A57C7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Вивчення фактичн</w:t>
            </w:r>
            <w:r>
              <w:rPr>
                <w:rFonts w:ascii="Times New Roman" w:eastAsia="Calibri" w:hAnsi="Times New Roman" w:cs="Times New Roman"/>
                <w:lang w:val="uk-UA"/>
              </w:rPr>
              <w:t>ого стану діяльності працівників</w:t>
            </w:r>
          </w:p>
        </w:tc>
        <w:tc>
          <w:tcPr>
            <w:tcW w:w="1440" w:type="dxa"/>
          </w:tcPr>
          <w:p w:rsidR="003A57C7" w:rsidRPr="005D1DFF" w:rsidRDefault="003A57C7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Члени ревізійної комісії</w:t>
            </w:r>
          </w:p>
        </w:tc>
        <w:tc>
          <w:tcPr>
            <w:tcW w:w="1440" w:type="dxa"/>
          </w:tcPr>
          <w:p w:rsidR="003A57C7" w:rsidRPr="005D1DFF" w:rsidRDefault="003A57C7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Інформація про роботу підрозділів</w:t>
            </w:r>
          </w:p>
        </w:tc>
        <w:tc>
          <w:tcPr>
            <w:tcW w:w="1620" w:type="dxa"/>
          </w:tcPr>
          <w:p w:rsidR="003A57C7" w:rsidRPr="005D1DFF" w:rsidRDefault="003A57C7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Надання доступу до необхідної інформації</w:t>
            </w:r>
          </w:p>
        </w:tc>
        <w:tc>
          <w:tcPr>
            <w:tcW w:w="1620" w:type="dxa"/>
          </w:tcPr>
          <w:p w:rsidR="003A57C7" w:rsidRPr="005D1DFF" w:rsidRDefault="003A57C7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Кількість накопиченої інформації</w:t>
            </w:r>
          </w:p>
        </w:tc>
        <w:tc>
          <w:tcPr>
            <w:tcW w:w="1789" w:type="dxa"/>
          </w:tcPr>
          <w:p w:rsidR="003A57C7" w:rsidRPr="005D1DFF" w:rsidRDefault="003A57C7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Збір необхідної інформації</w:t>
            </w:r>
          </w:p>
        </w:tc>
        <w:tc>
          <w:tcPr>
            <w:tcW w:w="1418" w:type="dxa"/>
          </w:tcPr>
          <w:p w:rsidR="003A57C7" w:rsidRPr="00B939CE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Заступник директора</w:t>
            </w:r>
          </w:p>
        </w:tc>
      </w:tr>
      <w:tr w:rsidR="003A57C7" w:rsidRPr="005D1DFF" w:rsidTr="00BF671C">
        <w:trPr>
          <w:trHeight w:val="578"/>
        </w:trPr>
        <w:tc>
          <w:tcPr>
            <w:tcW w:w="360" w:type="dxa"/>
          </w:tcPr>
          <w:p w:rsidR="003A57C7" w:rsidRPr="00B939CE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620" w:type="dxa"/>
          </w:tcPr>
          <w:p w:rsidR="003A57C7" w:rsidRPr="005D1DFF" w:rsidRDefault="003A57C7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 xml:space="preserve">Планування перевірок наявності </w:t>
            </w:r>
            <w:r w:rsidR="00B939CE">
              <w:rPr>
                <w:rFonts w:ascii="Times New Roman" w:eastAsia="Calibri" w:hAnsi="Times New Roman" w:cs="Times New Roman"/>
                <w:lang w:val="uk-UA"/>
              </w:rPr>
              <w:t>працівників на робочому місці</w:t>
            </w:r>
          </w:p>
        </w:tc>
        <w:tc>
          <w:tcPr>
            <w:tcW w:w="1440" w:type="dxa"/>
          </w:tcPr>
          <w:p w:rsidR="003A57C7" w:rsidRPr="005D1DFF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Працівник відділу маркетингу</w:t>
            </w:r>
          </w:p>
        </w:tc>
        <w:tc>
          <w:tcPr>
            <w:tcW w:w="1440" w:type="dxa"/>
          </w:tcPr>
          <w:p w:rsidR="003A57C7" w:rsidRDefault="00BF671C" w:rsidP="00BF671C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Власні </w:t>
            </w:r>
          </w:p>
          <w:p w:rsidR="00BF671C" w:rsidRPr="005D1DFF" w:rsidRDefault="00BF671C" w:rsidP="00BF671C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Спостереження та спостереження споживачів</w:t>
            </w:r>
          </w:p>
        </w:tc>
        <w:tc>
          <w:tcPr>
            <w:tcW w:w="1620" w:type="dxa"/>
          </w:tcPr>
          <w:p w:rsidR="003A57C7" w:rsidRPr="005D1DFF" w:rsidRDefault="003A57C7" w:rsidP="00BF671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 xml:space="preserve">Контроль за дотриманням </w:t>
            </w:r>
            <w:r w:rsidR="00BF671C">
              <w:rPr>
                <w:rFonts w:ascii="Times New Roman" w:eastAsia="Calibri" w:hAnsi="Times New Roman" w:cs="Times New Roman"/>
                <w:lang w:val="uk-UA"/>
              </w:rPr>
              <w:t>працівників умов праці</w:t>
            </w:r>
          </w:p>
        </w:tc>
        <w:tc>
          <w:tcPr>
            <w:tcW w:w="1620" w:type="dxa"/>
          </w:tcPr>
          <w:p w:rsidR="00BF671C" w:rsidRDefault="00BF671C" w:rsidP="00BF671C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Проаналізо-</w:t>
            </w:r>
          </w:p>
          <w:p w:rsidR="003A57C7" w:rsidRDefault="00BF671C" w:rsidP="00BF671C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вана</w:t>
            </w:r>
          </w:p>
          <w:p w:rsidR="00BF671C" w:rsidRPr="005D1DFF" w:rsidRDefault="00BF671C" w:rsidP="00BF671C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інформація</w:t>
            </w:r>
          </w:p>
        </w:tc>
        <w:tc>
          <w:tcPr>
            <w:tcW w:w="1789" w:type="dxa"/>
          </w:tcPr>
          <w:p w:rsidR="003A57C7" w:rsidRPr="005D1DFF" w:rsidRDefault="003A57C7" w:rsidP="00BF671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 xml:space="preserve">Відповідність фактичної наявності </w:t>
            </w:r>
            <w:r w:rsidR="00BF671C">
              <w:rPr>
                <w:rFonts w:ascii="Times New Roman" w:eastAsia="Calibri" w:hAnsi="Times New Roman" w:cs="Times New Roman"/>
                <w:lang w:val="uk-UA"/>
              </w:rPr>
              <w:t>працівників документам</w:t>
            </w:r>
            <w:r w:rsidRPr="005D1DFF">
              <w:rPr>
                <w:rFonts w:ascii="Times New Roman" w:eastAsia="Calibri" w:hAnsi="Times New Roman" w:cs="Times New Roman"/>
                <w:lang w:val="uk-UA"/>
              </w:rPr>
              <w:t xml:space="preserve"> перевірок</w:t>
            </w:r>
          </w:p>
        </w:tc>
        <w:tc>
          <w:tcPr>
            <w:tcW w:w="1418" w:type="dxa"/>
          </w:tcPr>
          <w:p w:rsidR="00BF671C" w:rsidRDefault="003A57C7" w:rsidP="00BF671C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 xml:space="preserve">Керівник </w:t>
            </w:r>
            <w:r w:rsidR="00BF671C">
              <w:rPr>
                <w:rFonts w:ascii="Times New Roman" w:eastAsia="Calibri" w:hAnsi="Times New Roman" w:cs="Times New Roman"/>
                <w:lang w:val="uk-UA"/>
              </w:rPr>
              <w:t>відділу маркети-</w:t>
            </w:r>
          </w:p>
          <w:p w:rsidR="003A57C7" w:rsidRPr="005D1DFF" w:rsidRDefault="00BF671C" w:rsidP="00BF671C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нгу</w:t>
            </w:r>
          </w:p>
        </w:tc>
      </w:tr>
      <w:tr w:rsidR="003A57C7" w:rsidRPr="00B939CE" w:rsidTr="00BF671C">
        <w:tc>
          <w:tcPr>
            <w:tcW w:w="360" w:type="dxa"/>
          </w:tcPr>
          <w:p w:rsidR="003A57C7" w:rsidRPr="00B939CE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620" w:type="dxa"/>
          </w:tcPr>
          <w:p w:rsidR="003A57C7" w:rsidRPr="00B939CE" w:rsidRDefault="00B939CE" w:rsidP="00B939CE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39CE">
              <w:rPr>
                <w:rFonts w:ascii="Times New Roman" w:eastAsia="Calibri" w:hAnsi="Times New Roman" w:cs="Times New Roman"/>
              </w:rPr>
              <w:t xml:space="preserve">Накопичення фактів та інформації про </w:t>
            </w:r>
            <w:r w:rsidRPr="00B939CE">
              <w:rPr>
                <w:rFonts w:ascii="Times New Roman" w:eastAsia="Calibri" w:hAnsi="Times New Roman" w:cs="Times New Roman"/>
                <w:lang w:val="uk-UA"/>
              </w:rPr>
              <w:t xml:space="preserve">скарги </w:t>
            </w:r>
            <w:r>
              <w:rPr>
                <w:rFonts w:ascii="Times New Roman" w:hAnsi="Times New Roman" w:cs="Times New Roman"/>
                <w:lang w:val="uk-UA"/>
              </w:rPr>
              <w:t>від споживачів</w:t>
            </w:r>
          </w:p>
        </w:tc>
        <w:tc>
          <w:tcPr>
            <w:tcW w:w="1440" w:type="dxa"/>
          </w:tcPr>
          <w:p w:rsidR="003A57C7" w:rsidRPr="00B939CE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Працівник відділу маркетингу</w:t>
            </w:r>
          </w:p>
        </w:tc>
        <w:tc>
          <w:tcPr>
            <w:tcW w:w="1440" w:type="dxa"/>
          </w:tcPr>
          <w:p w:rsidR="003A57C7" w:rsidRPr="005D1DFF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Книга </w:t>
            </w:r>
            <w:r w:rsidR="00BF671C">
              <w:rPr>
                <w:rFonts w:ascii="Times New Roman" w:eastAsia="Calibri" w:hAnsi="Times New Roman" w:cs="Times New Roman"/>
                <w:lang w:val="uk-UA"/>
              </w:rPr>
              <w:t>скарг і проп</w:t>
            </w:r>
            <w:r>
              <w:rPr>
                <w:rFonts w:ascii="Times New Roman" w:eastAsia="Calibri" w:hAnsi="Times New Roman" w:cs="Times New Roman"/>
                <w:lang w:val="uk-UA"/>
              </w:rPr>
              <w:t>озицій</w:t>
            </w:r>
          </w:p>
        </w:tc>
        <w:tc>
          <w:tcPr>
            <w:tcW w:w="1620" w:type="dxa"/>
          </w:tcPr>
          <w:p w:rsidR="003A57C7" w:rsidRPr="005D1DFF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Надання вільного доступу споживачам до необхідної інформації</w:t>
            </w:r>
          </w:p>
        </w:tc>
        <w:tc>
          <w:tcPr>
            <w:tcW w:w="1620" w:type="dxa"/>
          </w:tcPr>
          <w:p w:rsidR="003A57C7" w:rsidRDefault="00B939CE" w:rsidP="00B939CE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Передана,</w:t>
            </w:r>
          </w:p>
          <w:p w:rsidR="00B939CE" w:rsidRDefault="00B939CE" w:rsidP="00B939CE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проаналі-</w:t>
            </w:r>
          </w:p>
          <w:p w:rsidR="00B939CE" w:rsidRDefault="00B939CE" w:rsidP="00B939CE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зована</w:t>
            </w:r>
          </w:p>
          <w:p w:rsidR="00B939CE" w:rsidRPr="005D1DFF" w:rsidRDefault="00B939CE" w:rsidP="00B939CE">
            <w:pPr>
              <w:tabs>
                <w:tab w:val="left" w:pos="5685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інформація</w:t>
            </w:r>
          </w:p>
        </w:tc>
        <w:tc>
          <w:tcPr>
            <w:tcW w:w="1789" w:type="dxa"/>
          </w:tcPr>
          <w:p w:rsidR="003A57C7" w:rsidRPr="00B939CE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39CE">
              <w:rPr>
                <w:rFonts w:ascii="Times New Roman" w:eastAsia="Calibri" w:hAnsi="Times New Roman" w:cs="Times New Roman"/>
                <w:lang w:val="uk-UA"/>
              </w:rPr>
              <w:t>Збір усієї необхідної інформації у відповідності з можливостями</w:t>
            </w:r>
          </w:p>
        </w:tc>
        <w:tc>
          <w:tcPr>
            <w:tcW w:w="1418" w:type="dxa"/>
          </w:tcPr>
          <w:p w:rsidR="003A57C7" w:rsidRPr="00B939CE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Заступник директора</w:t>
            </w:r>
          </w:p>
        </w:tc>
      </w:tr>
      <w:tr w:rsidR="003A57C7" w:rsidRPr="005D1DFF" w:rsidTr="00BF671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60" w:type="dxa"/>
          </w:tcPr>
          <w:p w:rsidR="003A57C7" w:rsidRPr="00B939CE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3A57C7" w:rsidRDefault="003A57C7" w:rsidP="00B939CE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 xml:space="preserve">Оцінка ефективності </w:t>
            </w:r>
          </w:p>
          <w:p w:rsidR="00B939CE" w:rsidRPr="005D1DFF" w:rsidRDefault="00B939CE" w:rsidP="00B939CE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роботи праціників</w:t>
            </w:r>
          </w:p>
        </w:tc>
        <w:tc>
          <w:tcPr>
            <w:tcW w:w="1440" w:type="dxa"/>
            <w:shd w:val="clear" w:color="auto" w:fill="auto"/>
          </w:tcPr>
          <w:p w:rsidR="003A57C7" w:rsidRPr="005D1DFF" w:rsidRDefault="003A57C7" w:rsidP="003A5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Члени ревізійної комісії</w:t>
            </w:r>
          </w:p>
        </w:tc>
        <w:tc>
          <w:tcPr>
            <w:tcW w:w="1440" w:type="dxa"/>
            <w:shd w:val="clear" w:color="auto" w:fill="auto"/>
          </w:tcPr>
          <w:p w:rsidR="003A57C7" w:rsidRPr="005D1DFF" w:rsidRDefault="003A57C7" w:rsidP="003A57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Результати планових перевірок</w:t>
            </w:r>
          </w:p>
        </w:tc>
        <w:tc>
          <w:tcPr>
            <w:tcW w:w="1620" w:type="dxa"/>
            <w:shd w:val="clear" w:color="auto" w:fill="auto"/>
          </w:tcPr>
          <w:p w:rsidR="003A57C7" w:rsidRPr="005D1DFF" w:rsidRDefault="00BF671C" w:rsidP="00BF671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Контроль за дотриманням усіх правил поведінки</w:t>
            </w:r>
          </w:p>
        </w:tc>
        <w:tc>
          <w:tcPr>
            <w:tcW w:w="1620" w:type="dxa"/>
            <w:shd w:val="clear" w:color="auto" w:fill="auto"/>
          </w:tcPr>
          <w:p w:rsidR="003A57C7" w:rsidRPr="005D1DFF" w:rsidRDefault="003A57C7" w:rsidP="003A57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Записи про проведення перевірок</w:t>
            </w:r>
          </w:p>
        </w:tc>
        <w:tc>
          <w:tcPr>
            <w:tcW w:w="1789" w:type="dxa"/>
            <w:shd w:val="clear" w:color="auto" w:fill="auto"/>
          </w:tcPr>
          <w:p w:rsidR="003A57C7" w:rsidRPr="005D1DFF" w:rsidRDefault="003A57C7" w:rsidP="003A57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 xml:space="preserve">Покращення </w:t>
            </w:r>
            <w:r w:rsidR="00BF671C">
              <w:rPr>
                <w:rFonts w:ascii="Times New Roman" w:eastAsia="Calibri" w:hAnsi="Times New Roman" w:cs="Times New Roman"/>
                <w:lang w:val="uk-UA"/>
              </w:rPr>
              <w:t>роботи</w:t>
            </w:r>
          </w:p>
        </w:tc>
        <w:tc>
          <w:tcPr>
            <w:tcW w:w="1418" w:type="dxa"/>
            <w:shd w:val="clear" w:color="auto" w:fill="auto"/>
          </w:tcPr>
          <w:p w:rsidR="003A57C7" w:rsidRPr="005D1DFF" w:rsidRDefault="003A57C7" w:rsidP="00BF67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 xml:space="preserve">Керівник </w:t>
            </w:r>
            <w:r w:rsidR="00BF671C">
              <w:rPr>
                <w:rFonts w:ascii="Times New Roman" w:eastAsia="Calibri" w:hAnsi="Times New Roman" w:cs="Times New Roman"/>
                <w:lang w:val="uk-UA"/>
              </w:rPr>
              <w:t>відділу маркетингу</w:t>
            </w:r>
          </w:p>
        </w:tc>
      </w:tr>
      <w:tr w:rsidR="003A57C7" w:rsidRPr="005D1DFF" w:rsidTr="00BF671C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60" w:type="dxa"/>
          </w:tcPr>
          <w:p w:rsidR="003A57C7" w:rsidRPr="00B939CE" w:rsidRDefault="00B939CE" w:rsidP="003A57C7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A57C7" w:rsidRPr="005D1DFF" w:rsidRDefault="003A57C7" w:rsidP="00B939C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 xml:space="preserve">Написання висновків про результати перевірок і рекомендацій </w:t>
            </w:r>
            <w:r w:rsidR="00B939CE">
              <w:rPr>
                <w:rFonts w:ascii="Times New Roman" w:eastAsia="Calibri" w:hAnsi="Times New Roman" w:cs="Times New Roman"/>
                <w:lang w:val="uk-UA"/>
              </w:rPr>
              <w:t>щодо роботи продавців</w:t>
            </w:r>
          </w:p>
        </w:tc>
        <w:tc>
          <w:tcPr>
            <w:tcW w:w="1440" w:type="dxa"/>
            <w:shd w:val="clear" w:color="auto" w:fill="auto"/>
          </w:tcPr>
          <w:p w:rsidR="003A57C7" w:rsidRPr="005D1DFF" w:rsidRDefault="003A57C7" w:rsidP="003A57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Члени ревізійної комісії</w:t>
            </w:r>
          </w:p>
        </w:tc>
        <w:tc>
          <w:tcPr>
            <w:tcW w:w="1440" w:type="dxa"/>
            <w:shd w:val="clear" w:color="auto" w:fill="auto"/>
          </w:tcPr>
          <w:p w:rsidR="003A57C7" w:rsidRPr="005D1DFF" w:rsidRDefault="003A57C7" w:rsidP="003A57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Результати проведених перевірок</w:t>
            </w:r>
          </w:p>
        </w:tc>
        <w:tc>
          <w:tcPr>
            <w:tcW w:w="1620" w:type="dxa"/>
            <w:shd w:val="clear" w:color="auto" w:fill="auto"/>
          </w:tcPr>
          <w:p w:rsidR="003A57C7" w:rsidRPr="005D1DFF" w:rsidRDefault="003A57C7" w:rsidP="003A57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Відповідність стандартам і вимогам</w:t>
            </w:r>
          </w:p>
        </w:tc>
        <w:tc>
          <w:tcPr>
            <w:tcW w:w="1620" w:type="dxa"/>
            <w:shd w:val="clear" w:color="auto" w:fill="auto"/>
          </w:tcPr>
          <w:p w:rsidR="003A57C7" w:rsidRPr="005D1DFF" w:rsidRDefault="003A57C7" w:rsidP="003A57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Відповідність правильності інформації</w:t>
            </w:r>
          </w:p>
        </w:tc>
        <w:tc>
          <w:tcPr>
            <w:tcW w:w="1789" w:type="dxa"/>
            <w:shd w:val="clear" w:color="auto" w:fill="auto"/>
          </w:tcPr>
          <w:p w:rsidR="003A57C7" w:rsidRPr="005D1DFF" w:rsidRDefault="003A57C7" w:rsidP="003A57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Підвищення ефективності внутрішніх перевірок</w:t>
            </w:r>
          </w:p>
        </w:tc>
        <w:tc>
          <w:tcPr>
            <w:tcW w:w="1418" w:type="dxa"/>
            <w:shd w:val="clear" w:color="auto" w:fill="auto"/>
          </w:tcPr>
          <w:p w:rsidR="003A57C7" w:rsidRPr="005D1DFF" w:rsidRDefault="003A57C7" w:rsidP="00BF67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1DFF">
              <w:rPr>
                <w:rFonts w:ascii="Times New Roman" w:eastAsia="Calibri" w:hAnsi="Times New Roman" w:cs="Times New Roman"/>
                <w:lang w:val="uk-UA"/>
              </w:rPr>
              <w:t>Керівник підрозділу</w:t>
            </w:r>
          </w:p>
        </w:tc>
      </w:tr>
    </w:tbl>
    <w:p w:rsidR="00A93523" w:rsidRPr="005D1DFF" w:rsidRDefault="00A93523" w:rsidP="00A93523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4B62" w:rsidRDefault="00A93523" w:rsidP="00A94B62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D1DFF">
        <w:rPr>
          <w:rFonts w:ascii="Times New Roman" w:hAnsi="Times New Roman"/>
          <w:sz w:val="28"/>
          <w:szCs w:val="28"/>
        </w:rPr>
        <w:br w:type="page"/>
      </w:r>
      <w:r w:rsidR="00A94B62" w:rsidRPr="00E4452C">
        <w:rPr>
          <w:rFonts w:ascii="Times New Roman" w:hAnsi="Times New Roman"/>
          <w:b/>
          <w:sz w:val="28"/>
          <w:szCs w:val="28"/>
        </w:rPr>
        <w:lastRenderedPageBreak/>
        <w:t>Висновок</w:t>
      </w:r>
      <w:r w:rsidR="00A94B62">
        <w:rPr>
          <w:rFonts w:ascii="Times New Roman" w:hAnsi="Times New Roman"/>
          <w:b/>
          <w:sz w:val="28"/>
          <w:szCs w:val="28"/>
        </w:rPr>
        <w:t>:</w:t>
      </w:r>
    </w:p>
    <w:p w:rsidR="005D1DFF" w:rsidRPr="005D1DFF" w:rsidRDefault="005D1DFF" w:rsidP="005D1DFF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провівши розрахунки в нашій роботі і зробивши різні види досліджень і опису видно, що для ВКФ «Світязь» потрібно удосконалювати процес «управління</w:t>
      </w:r>
      <w:r w:rsidR="003A57C7">
        <w:rPr>
          <w:rFonts w:ascii="Times New Roman" w:hAnsi="Times New Roman"/>
          <w:sz w:val="28"/>
          <w:szCs w:val="28"/>
        </w:rPr>
        <w:t xml:space="preserve"> персоналом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A57C7">
        <w:rPr>
          <w:rFonts w:ascii="Times New Roman" w:hAnsi="Times New Roman"/>
          <w:sz w:val="28"/>
          <w:szCs w:val="28"/>
        </w:rPr>
        <w:t xml:space="preserve">збільшувати рівень обслуговування даної установи </w:t>
      </w:r>
      <w:r>
        <w:rPr>
          <w:rFonts w:ascii="Times New Roman" w:hAnsi="Times New Roman"/>
          <w:sz w:val="28"/>
          <w:szCs w:val="28"/>
        </w:rPr>
        <w:t xml:space="preserve">для кращого функціонування підприємства,  для отримання більшого прибутку та залучення більшої кількості покупців продукції магазину. </w:t>
      </w:r>
    </w:p>
    <w:sectPr w:rsidR="005D1DFF" w:rsidRPr="005D1DFF" w:rsidSect="00BD5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80" w:rsidRDefault="00692280" w:rsidP="00692280">
      <w:pPr>
        <w:spacing w:after="0" w:line="240" w:lineRule="auto"/>
      </w:pPr>
      <w:r>
        <w:separator/>
      </w:r>
    </w:p>
  </w:endnote>
  <w:endnote w:type="continuationSeparator" w:id="0">
    <w:p w:rsidR="00692280" w:rsidRDefault="00692280" w:rsidP="0069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80" w:rsidRDefault="006922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80" w:rsidRDefault="006922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80" w:rsidRDefault="006922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80" w:rsidRDefault="00692280" w:rsidP="00692280">
      <w:pPr>
        <w:spacing w:after="0" w:line="240" w:lineRule="auto"/>
      </w:pPr>
      <w:r>
        <w:separator/>
      </w:r>
    </w:p>
  </w:footnote>
  <w:footnote w:type="continuationSeparator" w:id="0">
    <w:p w:rsidR="00692280" w:rsidRDefault="00692280" w:rsidP="0069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80" w:rsidRDefault="006922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80" w:rsidRPr="00692280" w:rsidRDefault="00692280" w:rsidP="00692280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692280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69228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80" w:rsidRDefault="006922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9B0"/>
    <w:multiLevelType w:val="hybridMultilevel"/>
    <w:tmpl w:val="C10E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8D2AC8"/>
    <w:multiLevelType w:val="hybridMultilevel"/>
    <w:tmpl w:val="343423AA"/>
    <w:lvl w:ilvl="0" w:tplc="E066658C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DC35833"/>
    <w:multiLevelType w:val="hybridMultilevel"/>
    <w:tmpl w:val="BE405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8E424D8"/>
    <w:multiLevelType w:val="hybridMultilevel"/>
    <w:tmpl w:val="63DE93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B0958EB"/>
    <w:multiLevelType w:val="hybridMultilevel"/>
    <w:tmpl w:val="EE2CBE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9C"/>
    <w:rsid w:val="00092BF6"/>
    <w:rsid w:val="00193449"/>
    <w:rsid w:val="003A57C7"/>
    <w:rsid w:val="00445CFB"/>
    <w:rsid w:val="004B00A2"/>
    <w:rsid w:val="0054523B"/>
    <w:rsid w:val="005D1DFF"/>
    <w:rsid w:val="005E2F9C"/>
    <w:rsid w:val="00692280"/>
    <w:rsid w:val="00713DF8"/>
    <w:rsid w:val="0095046B"/>
    <w:rsid w:val="00976BC8"/>
    <w:rsid w:val="00A93523"/>
    <w:rsid w:val="00A94B62"/>
    <w:rsid w:val="00AB28AD"/>
    <w:rsid w:val="00B76B83"/>
    <w:rsid w:val="00B939CE"/>
    <w:rsid w:val="00BD5B2D"/>
    <w:rsid w:val="00BF671C"/>
    <w:rsid w:val="00CA4B40"/>
    <w:rsid w:val="00D16D0B"/>
    <w:rsid w:val="00D71AAA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4" type="connector" idref="#_x0000_s1067"/>
        <o:r id="V:Rule5" type="connector" idref="#_x0000_s1066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D5B2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BD5B2D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5">
    <w:name w:val="header"/>
    <w:basedOn w:val="a"/>
    <w:link w:val="a6"/>
    <w:uiPriority w:val="99"/>
    <w:unhideWhenUsed/>
    <w:rsid w:val="0069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92280"/>
  </w:style>
  <w:style w:type="paragraph" w:styleId="a7">
    <w:name w:val="footer"/>
    <w:basedOn w:val="a"/>
    <w:link w:val="a8"/>
    <w:uiPriority w:val="99"/>
    <w:unhideWhenUsed/>
    <w:rsid w:val="0069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92280"/>
  </w:style>
  <w:style w:type="character" w:styleId="a9">
    <w:name w:val="Hyperlink"/>
    <w:basedOn w:val="a0"/>
    <w:uiPriority w:val="99"/>
    <w:unhideWhenUsed/>
    <w:rsid w:val="00692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855</Words>
  <Characters>5332</Characters>
  <Application>Microsoft Office Word</Application>
  <DocSecurity>0</DocSecurity>
  <Lines>501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2010-12-01T20:07:00Z</dcterms:created>
  <dcterms:modified xsi:type="dcterms:W3CDTF">2013-02-14T13:18:00Z</dcterms:modified>
</cp:coreProperties>
</file>