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32" w:rsidRDefault="00852032" w:rsidP="00852032">
      <w:pPr>
        <w:spacing w:after="0" w:line="360" w:lineRule="auto"/>
        <w:ind w:left="5245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color w:val="0F243E"/>
          <w:sz w:val="28"/>
          <w:szCs w:val="28"/>
          <w:lang w:val="ru-RU"/>
        </w:rPr>
        <w:t xml:space="preserve"> Автор:</w:t>
      </w:r>
    </w:p>
    <w:p w:rsid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  <w:lang w:val="ru-RU"/>
        </w:rPr>
        <w:t>Онофр</w:t>
      </w:r>
      <w:r>
        <w:rPr>
          <w:rFonts w:ascii="Times New Roman" w:hAnsi="Times New Roman"/>
          <w:color w:val="0F243E"/>
          <w:sz w:val="28"/>
          <w:szCs w:val="28"/>
        </w:rPr>
        <w:t>ійчук Олег Петрович</w:t>
      </w:r>
    </w:p>
    <w:p w:rsid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 xml:space="preserve">студент </w:t>
      </w:r>
      <w:r>
        <w:rPr>
          <w:rFonts w:ascii="Times New Roman" w:hAnsi="Times New Roman"/>
          <w:color w:val="0F243E"/>
          <w:sz w:val="28"/>
          <w:szCs w:val="28"/>
          <w:lang w:val="en-US"/>
        </w:rPr>
        <w:t>IV</w:t>
      </w:r>
      <w:r>
        <w:rPr>
          <w:rFonts w:ascii="Times New Roman" w:hAnsi="Times New Roman"/>
          <w:color w:val="0F243E"/>
          <w:sz w:val="28"/>
          <w:szCs w:val="28"/>
        </w:rPr>
        <w:t xml:space="preserve"> курсу</w:t>
      </w:r>
    </w:p>
    <w:p w:rsid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економічного факультету</w:t>
      </w:r>
    </w:p>
    <w:p w:rsid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Міжнародного економіко-гуманітарного університету</w:t>
      </w:r>
    </w:p>
    <w:p w:rsid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імені академіка Степана Демянчука</w:t>
      </w:r>
    </w:p>
    <w:p w:rsid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Науковий керівник</w:t>
      </w:r>
    </w:p>
    <w:p w:rsidR="00852032" w:rsidRPr="00852032" w:rsidRDefault="00852032" w:rsidP="00852032">
      <w:pPr>
        <w:spacing w:after="0" w:line="360" w:lineRule="auto"/>
        <w:ind w:left="5387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color w:val="0F243E"/>
          <w:sz w:val="28"/>
          <w:szCs w:val="28"/>
        </w:rPr>
        <w:t>доц. Котовська Галина Миколаївна</w:t>
      </w:r>
    </w:p>
    <w:p w:rsidR="00852032" w:rsidRDefault="00852032" w:rsidP="00936512">
      <w:pPr>
        <w:spacing w:after="0" w:line="360" w:lineRule="auto"/>
        <w:ind w:left="284" w:firstLine="709"/>
        <w:jc w:val="center"/>
        <w:rPr>
          <w:rFonts w:ascii="Times New Roman" w:hAnsi="Times New Roman"/>
          <w:color w:val="0F243E"/>
          <w:sz w:val="28"/>
          <w:szCs w:val="28"/>
          <w:lang w:val="ru-RU"/>
        </w:rPr>
      </w:pPr>
    </w:p>
    <w:p w:rsidR="00EB3C39" w:rsidRPr="00ED25BB" w:rsidRDefault="00936512" w:rsidP="00936512">
      <w:pPr>
        <w:spacing w:after="0" w:line="360" w:lineRule="auto"/>
        <w:ind w:left="284" w:firstLine="709"/>
        <w:jc w:val="center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Вільний продаж землі в Україні: економічна необхідність чи чергова політична авантюра</w:t>
      </w:r>
    </w:p>
    <w:p w:rsidR="0081435A" w:rsidRPr="00ED25BB" w:rsidRDefault="0081435A" w:rsidP="00936512">
      <w:pPr>
        <w:spacing w:after="0" w:line="360" w:lineRule="auto"/>
        <w:ind w:left="4820" w:firstLine="142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EB3C39" w:rsidRPr="00ED25BB" w:rsidRDefault="00EB3C39" w:rsidP="00936512">
      <w:pPr>
        <w:spacing w:after="0" w:line="360" w:lineRule="auto"/>
        <w:ind w:left="4820" w:firstLine="142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«…наша земля станет для нас чужой, а украинский народ окажетса лишним на ней.»</w:t>
      </w:r>
    </w:p>
    <w:p w:rsidR="00EB3C39" w:rsidRPr="00ED25BB" w:rsidRDefault="00FA2AFA" w:rsidP="00FA2AFA">
      <w:pPr>
        <w:spacing w:after="0" w:line="360" w:lineRule="auto"/>
        <w:ind w:left="4820" w:firstLine="142"/>
        <w:jc w:val="right"/>
        <w:rPr>
          <w:rFonts w:ascii="Times New Roman" w:hAnsi="Times New Roman"/>
          <w:i/>
          <w:color w:val="0F243E"/>
          <w:sz w:val="28"/>
          <w:szCs w:val="28"/>
        </w:rPr>
      </w:pPr>
      <w:r w:rsidRPr="00ED25BB">
        <w:rPr>
          <w:rFonts w:ascii="Times New Roman" w:hAnsi="Times New Roman"/>
          <w:i/>
          <w:color w:val="0F243E"/>
          <w:sz w:val="28"/>
          <w:szCs w:val="28"/>
          <w:lang w:val="ru-RU"/>
        </w:rPr>
        <w:t xml:space="preserve">Дегодюк </w:t>
      </w:r>
      <w:r w:rsidRPr="00ED25BB">
        <w:rPr>
          <w:rFonts w:ascii="Times New Roman" w:hAnsi="Times New Roman"/>
          <w:i/>
          <w:color w:val="0F243E"/>
          <w:sz w:val="28"/>
          <w:szCs w:val="28"/>
        </w:rPr>
        <w:t>Едуард</w:t>
      </w:r>
    </w:p>
    <w:p w:rsidR="0081435A" w:rsidRPr="00ED25BB" w:rsidRDefault="0081435A" w:rsidP="00FA2AFA">
      <w:pPr>
        <w:spacing w:after="0" w:line="360" w:lineRule="auto"/>
        <w:ind w:left="4820" w:firstLine="142"/>
        <w:jc w:val="right"/>
        <w:rPr>
          <w:rFonts w:ascii="Times New Roman" w:hAnsi="Times New Roman"/>
          <w:i/>
          <w:color w:val="0F243E"/>
          <w:sz w:val="28"/>
          <w:szCs w:val="28"/>
          <w:lang w:val="ru-RU"/>
        </w:rPr>
      </w:pPr>
    </w:p>
    <w:p w:rsidR="0081435A" w:rsidRPr="00ED25BB" w:rsidRDefault="0081435A" w:rsidP="0081435A">
      <w:pPr>
        <w:spacing w:after="0" w:line="360" w:lineRule="auto"/>
        <w:ind w:left="4820" w:firstLine="142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«Для приумножения богатства предпочитительнее развиватие сельского гозяйства, а не промишлености.»</w:t>
      </w:r>
    </w:p>
    <w:p w:rsidR="0081435A" w:rsidRPr="00ED25BB" w:rsidRDefault="0081435A" w:rsidP="0081435A">
      <w:pPr>
        <w:spacing w:after="0" w:line="360" w:lineRule="auto"/>
        <w:ind w:left="4820" w:firstLine="142"/>
        <w:jc w:val="right"/>
        <w:rPr>
          <w:rFonts w:ascii="Times New Roman" w:hAnsi="Times New Roman"/>
          <w:i/>
          <w:color w:val="0F243E"/>
          <w:sz w:val="28"/>
          <w:szCs w:val="28"/>
        </w:rPr>
      </w:pPr>
      <w:r w:rsidRPr="00ED25BB">
        <w:rPr>
          <w:rFonts w:ascii="Times New Roman" w:hAnsi="Times New Roman"/>
          <w:i/>
          <w:color w:val="0F243E"/>
          <w:sz w:val="28"/>
          <w:szCs w:val="28"/>
        </w:rPr>
        <w:t>Сміт Адам</w:t>
      </w:r>
    </w:p>
    <w:p w:rsidR="0081435A" w:rsidRPr="00ED25BB" w:rsidRDefault="0081435A" w:rsidP="0081435A">
      <w:pPr>
        <w:spacing w:after="0" w:line="360" w:lineRule="auto"/>
        <w:ind w:left="4820" w:firstLine="142"/>
        <w:jc w:val="right"/>
        <w:rPr>
          <w:rFonts w:ascii="Times New Roman" w:hAnsi="Times New Roman"/>
          <w:i/>
          <w:color w:val="0F243E"/>
          <w:sz w:val="28"/>
          <w:szCs w:val="28"/>
        </w:rPr>
      </w:pPr>
    </w:p>
    <w:p w:rsidR="004F126A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На сучасному етапі розвитку аграрного сектору, питання про зняття мораторію на продаж землі в Україні набуває не аби якого резонансу. 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На протязі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останніх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 років в наукових колах точаться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дискусії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 про переваги та недоліки реформування аграрного сектору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,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 а саме зняття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мораторію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 на продаж землі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.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Важливого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 значення це </w:t>
      </w:r>
      <w:r w:rsidR="00E45190" w:rsidRPr="00ED25BB">
        <w:rPr>
          <w:rFonts w:ascii="Times New Roman" w:hAnsi="Times New Roman"/>
          <w:color w:val="0F243E"/>
          <w:sz w:val="28"/>
          <w:szCs w:val="28"/>
        </w:rPr>
        <w:t xml:space="preserve">питання набуває у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зв’язку</w:t>
      </w:r>
      <w:r w:rsidR="00E45190" w:rsidRPr="00ED25BB">
        <w:rPr>
          <w:rFonts w:ascii="Times New Roman" w:hAnsi="Times New Roman"/>
          <w:color w:val="0F243E"/>
          <w:sz w:val="28"/>
          <w:szCs w:val="28"/>
        </w:rPr>
        <w:t xml:space="preserve"> з такими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 обставин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ами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. По-перше, зняття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мораторію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 на продаж землі в України означає «вільний ринок 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lastRenderedPageBreak/>
        <w:t xml:space="preserve">землі», тобто </w:t>
      </w:r>
      <w:bookmarkEnd w:id="0"/>
      <w:r w:rsidR="00E80DE3" w:rsidRPr="00ED25BB">
        <w:rPr>
          <w:rFonts w:ascii="Times New Roman" w:hAnsi="Times New Roman"/>
          <w:color w:val="0F243E"/>
          <w:sz w:val="28"/>
          <w:szCs w:val="28"/>
        </w:rPr>
        <w:t>земля як і будь-який товар зможе купува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>т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>и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>ся</w:t>
      </w:r>
      <w:r w:rsidR="00E80DE3" w:rsidRPr="00ED25BB">
        <w:rPr>
          <w:rFonts w:ascii="Times New Roman" w:hAnsi="Times New Roman"/>
          <w:color w:val="0F243E"/>
          <w:sz w:val="28"/>
          <w:szCs w:val="28"/>
        </w:rPr>
        <w:t xml:space="preserve"> та продаватися. По-друге, </w:t>
      </w:r>
      <w:r w:rsidR="004F126A" w:rsidRPr="00ED25BB">
        <w:rPr>
          <w:rFonts w:ascii="Times New Roman" w:hAnsi="Times New Roman"/>
          <w:color w:val="0F243E"/>
          <w:sz w:val="28"/>
          <w:szCs w:val="28"/>
        </w:rPr>
        <w:t xml:space="preserve">українське законодавство «неготове» для регулювання вільного ринку землі, відсутня ціла низка законодавчих актів щодо регулювання такого ринку.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По-третє</w:t>
      </w:r>
      <w:r w:rsidR="004F126A" w:rsidRPr="00ED25BB">
        <w:rPr>
          <w:rFonts w:ascii="Times New Roman" w:hAnsi="Times New Roman"/>
          <w:color w:val="0F243E"/>
          <w:sz w:val="28"/>
          <w:szCs w:val="28"/>
        </w:rPr>
        <w:t xml:space="preserve">, немає чітко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сформульованої</w:t>
      </w:r>
      <w:r w:rsidR="004F126A" w:rsidRPr="00ED25BB">
        <w:rPr>
          <w:rFonts w:ascii="Times New Roman" w:hAnsi="Times New Roman"/>
          <w:color w:val="0F243E"/>
          <w:sz w:val="28"/>
          <w:szCs w:val="28"/>
        </w:rPr>
        <w:t xml:space="preserve"> стратегії проведення даної реформи.</w:t>
      </w:r>
    </w:p>
    <w:p w:rsidR="004F126A" w:rsidRPr="00ED25BB" w:rsidRDefault="004F126A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Питання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земельних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реформ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у всі часи було актуальним. Від утворення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общинного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ладу, коли починає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з'являтися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поняття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власність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до сьогодення. </w:t>
      </w:r>
    </w:p>
    <w:p w:rsidR="00EB3C39" w:rsidRPr="00ED25BB" w:rsidRDefault="004F126A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Серед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відомих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вчених, які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досліджували питання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земельних відносин, зазначимо А. Сміта, Д.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Рікардо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, Дж. С. Мілля, М. І. Туган-Барановського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, </w:t>
      </w:r>
      <w:r w:rsidR="00041303" w:rsidRPr="00ED25BB">
        <w:rPr>
          <w:rFonts w:ascii="Times New Roman" w:hAnsi="Times New Roman"/>
          <w:color w:val="0F243E"/>
          <w:sz w:val="28"/>
          <w:szCs w:val="28"/>
        </w:rPr>
        <w:t xml:space="preserve">                  </w:t>
      </w:r>
      <w:r w:rsidRPr="00ED25BB">
        <w:rPr>
          <w:rFonts w:ascii="Times New Roman" w:hAnsi="Times New Roman"/>
          <w:color w:val="0F243E"/>
          <w:sz w:val="28"/>
          <w:szCs w:val="28"/>
        </w:rPr>
        <w:t>К.</w:t>
      </w:r>
      <w:r w:rsidR="00041303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D25BB">
        <w:rPr>
          <w:rFonts w:ascii="Times New Roman" w:hAnsi="Times New Roman"/>
          <w:color w:val="0F243E"/>
          <w:sz w:val="28"/>
          <w:szCs w:val="28"/>
        </w:rPr>
        <w:t>Маркс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а</w:t>
      </w:r>
      <w:r w:rsidRPr="00ED25BB">
        <w:rPr>
          <w:rFonts w:ascii="Times New Roman" w:hAnsi="Times New Roman"/>
          <w:color w:val="0F243E"/>
          <w:sz w:val="28"/>
          <w:szCs w:val="28"/>
        </w:rPr>
        <w:t>.</w:t>
      </w:r>
      <w:r w:rsidR="00041303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серед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сучасних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українських вчених можна відмітити</w:t>
      </w:r>
      <w:r w:rsidR="008C52BC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D25BB">
        <w:rPr>
          <w:rFonts w:ascii="Times New Roman" w:hAnsi="Times New Roman"/>
          <w:color w:val="0F243E"/>
          <w:sz w:val="28"/>
          <w:szCs w:val="28"/>
        </w:rPr>
        <w:t>П. Саблук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а</w:t>
      </w:r>
      <w:r w:rsidRPr="00ED25BB">
        <w:rPr>
          <w:rFonts w:ascii="Times New Roman" w:hAnsi="Times New Roman"/>
          <w:color w:val="0F243E"/>
          <w:sz w:val="28"/>
          <w:szCs w:val="28"/>
        </w:rPr>
        <w:t>,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 М. Павлишенка</w:t>
      </w:r>
      <w:r w:rsidR="008C52BC" w:rsidRPr="00ED25BB">
        <w:rPr>
          <w:rFonts w:ascii="Times New Roman" w:hAnsi="Times New Roman"/>
          <w:color w:val="0F243E"/>
          <w:sz w:val="28"/>
          <w:szCs w:val="28"/>
        </w:rPr>
        <w:t xml:space="preserve">,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8C52BC" w:rsidRPr="00ED25BB">
        <w:rPr>
          <w:rFonts w:ascii="Times New Roman" w:hAnsi="Times New Roman"/>
          <w:color w:val="0F243E"/>
          <w:sz w:val="28"/>
          <w:szCs w:val="28"/>
        </w:rPr>
        <w:t>В. Юрчишин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а</w:t>
      </w:r>
      <w:r w:rsidR="008C52BC" w:rsidRPr="00ED25BB">
        <w:rPr>
          <w:rFonts w:ascii="Times New Roman" w:hAnsi="Times New Roman"/>
          <w:color w:val="0F243E"/>
          <w:sz w:val="28"/>
          <w:szCs w:val="28"/>
        </w:rPr>
        <w:t>, О. Чаянов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а</w:t>
      </w:r>
      <w:r w:rsidR="008C52BC" w:rsidRPr="00ED25BB">
        <w:rPr>
          <w:rFonts w:ascii="Times New Roman" w:hAnsi="Times New Roman"/>
          <w:color w:val="0F243E"/>
          <w:sz w:val="28"/>
          <w:szCs w:val="28"/>
        </w:rPr>
        <w:t>. Інтенсивність дослідження поняття «земельні відносини»,</w:t>
      </w:r>
      <w:r w:rsidR="00E45190" w:rsidRPr="00ED25BB">
        <w:rPr>
          <w:rFonts w:ascii="Times New Roman" w:hAnsi="Times New Roman"/>
          <w:color w:val="0F243E"/>
          <w:sz w:val="28"/>
          <w:szCs w:val="28"/>
        </w:rPr>
        <w:t xml:space="preserve"> не вгасала на протязі всього його</w:t>
      </w:r>
      <w:r w:rsidR="008C52BC" w:rsidRPr="00ED25BB">
        <w:rPr>
          <w:rFonts w:ascii="Times New Roman" w:hAnsi="Times New Roman"/>
          <w:color w:val="0F243E"/>
          <w:sz w:val="28"/>
          <w:szCs w:val="28"/>
        </w:rPr>
        <w:t xml:space="preserve"> вивчення.</w:t>
      </w:r>
    </w:p>
    <w:p w:rsidR="008C52BC" w:rsidRPr="00ED25BB" w:rsidRDefault="008C52BC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Метою статті є визначення економічної необхідності зняття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мораторію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на продаж землі в Україні.</w:t>
      </w:r>
    </w:p>
    <w:p w:rsidR="008C52BC" w:rsidRPr="00ED25BB" w:rsidRDefault="009E43BD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Розглядаючи земельні реформи в історичному аспекті, можна виділити лише дві реформи, які сприяли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добробуту українського народу. П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ерша була проведена за часи Київської Русі у </w:t>
      </w:r>
      <w:r w:rsidRPr="00ED25BB">
        <w:rPr>
          <w:rFonts w:ascii="Times New Roman" w:hAnsi="Times New Roman"/>
          <w:color w:val="0F243E"/>
          <w:sz w:val="28"/>
          <w:szCs w:val="28"/>
          <w:lang w:val="en-US"/>
        </w:rPr>
        <w:t>IX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>-</w:t>
      </w:r>
      <w:r w:rsidRPr="00ED25BB">
        <w:rPr>
          <w:rFonts w:ascii="Times New Roman" w:hAnsi="Times New Roman"/>
          <w:color w:val="0F243E"/>
          <w:sz w:val="28"/>
          <w:szCs w:val="28"/>
          <w:lang w:val="en-US"/>
        </w:rPr>
        <w:t>XI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столітті, згідно з якою узаконилося право на землю без права на рабовласництво, друга за часів недовгочасного правління Богдана Хмельницького – коли всі землі, які були з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ахоплені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раніше (Річчю Посполитою) стали власністю козаків та християн</w:t>
      </w:r>
      <w:r w:rsidR="00041303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</w:t>
      </w:r>
      <w:r w:rsidR="00041303" w:rsidRPr="00852032">
        <w:rPr>
          <w:rFonts w:ascii="Times New Roman" w:hAnsi="Times New Roman"/>
          <w:color w:val="0F243E"/>
          <w:sz w:val="28"/>
          <w:szCs w:val="28"/>
          <w:lang w:val="ru-RU"/>
        </w:rPr>
        <w:t>[8]</w:t>
      </w:r>
      <w:r w:rsidRPr="00ED25BB">
        <w:rPr>
          <w:rFonts w:ascii="Times New Roman" w:hAnsi="Times New Roman"/>
          <w:color w:val="0F243E"/>
          <w:sz w:val="28"/>
          <w:szCs w:val="28"/>
        </w:rPr>
        <w:t>.</w:t>
      </w:r>
    </w:p>
    <w:p w:rsidR="008C52BC" w:rsidRPr="00ED25BB" w:rsidRDefault="008C52BC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Всі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інші так звані аграрні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реформ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и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, які проводилися на території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України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були направлення проти українського народу. Для прикладу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, у </w:t>
      </w:r>
      <w:r w:rsidR="00D83A69" w:rsidRPr="00ED25BB">
        <w:rPr>
          <w:rFonts w:ascii="Times New Roman" w:hAnsi="Times New Roman"/>
          <w:color w:val="0F243E"/>
          <w:sz w:val="28"/>
          <w:szCs w:val="28"/>
        </w:rPr>
        <w:t xml:space="preserve">період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колективізації (1927 р.) </w:t>
      </w:r>
      <w:r w:rsidR="00D83A69" w:rsidRPr="00ED25BB">
        <w:rPr>
          <w:rFonts w:ascii="Times New Roman" w:hAnsi="Times New Roman"/>
          <w:color w:val="0F243E"/>
          <w:sz w:val="28"/>
          <w:szCs w:val="28"/>
        </w:rPr>
        <w:t>розпочалася реформа аграрного сектору згідно з якою всіх людей (разом з їхніми землями) «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зганяли</w:t>
      </w:r>
      <w:r w:rsidR="00D83A69" w:rsidRPr="00ED25BB">
        <w:rPr>
          <w:rFonts w:ascii="Times New Roman" w:hAnsi="Times New Roman"/>
          <w:color w:val="0F243E"/>
          <w:sz w:val="28"/>
          <w:szCs w:val="28"/>
        </w:rPr>
        <w:t>» в колгоспи та радгоспи. В результаті проведення такої реформи селяни  втратили свої землі, які перейшли у власність радгоспів та колгоспів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тобто в державу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. Також не можна не згадали с</w:t>
      </w:r>
      <w:r w:rsidR="00D83A69" w:rsidRPr="00ED25BB">
        <w:rPr>
          <w:rFonts w:ascii="Times New Roman" w:hAnsi="Times New Roman"/>
          <w:color w:val="0F243E"/>
          <w:sz w:val="28"/>
          <w:szCs w:val="28"/>
        </w:rPr>
        <w:t>толипінські реформи.</w:t>
      </w:r>
    </w:p>
    <w:p w:rsidR="00D83A69" w:rsidRPr="00ED25BB" w:rsidRDefault="00D83A69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Зважаючи на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негативні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наслідки майже всіх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земельних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реформ, які стосувалися землі після отримання Україною в 1991 році незалежності,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здавалося б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все мало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роз’яснитися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. Почався розподіл та приватизація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власності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держави </w:t>
      </w:r>
      <w:r w:rsidR="001E2E64" w:rsidRPr="00ED25BB">
        <w:rPr>
          <w:rFonts w:ascii="Times New Roman" w:hAnsi="Times New Roman"/>
          <w:color w:val="0F243E"/>
          <w:sz w:val="28"/>
          <w:szCs w:val="28"/>
        </w:rPr>
        <w:t xml:space="preserve">між </w:t>
      </w:r>
      <w:r w:rsidRPr="00ED25BB">
        <w:rPr>
          <w:rFonts w:ascii="Times New Roman" w:hAnsi="Times New Roman"/>
          <w:color w:val="0F243E"/>
          <w:sz w:val="28"/>
          <w:szCs w:val="28"/>
        </w:rPr>
        <w:lastRenderedPageBreak/>
        <w:t xml:space="preserve">її громадянами.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За 20 років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незалежності нашої країни земельне питання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а саме розподіл землі її продаж або купівля ніколи не переставали бути актуальними.</w:t>
      </w:r>
    </w:p>
    <w:p w:rsidR="00D83A69" w:rsidRPr="00ED25BB" w:rsidRDefault="00D83A69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Ось і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зараз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 на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передодні закінчення дії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мораторію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 (01.01.2013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р.) на продаж землі в Україні це питання набуло не аби якого ажіотажу. </w:t>
      </w:r>
    </w:p>
    <w:p w:rsidR="004F069B" w:rsidRPr="00ED25BB" w:rsidRDefault="004F069B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При знятті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мораторію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одним з перших запитань постає питання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а чи можна взагалі оцінити земельні ресурси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чи може взагалі земля бути товаром. Звісно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на перший погляд оцінити земельні ресурси можливо,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але ж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в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водночас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 земля є не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від’ємною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частиною існування держави, а коли земля переходить у приватні руки, держава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втрачає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контроль над нею.</w:t>
      </w:r>
    </w:p>
    <w:p w:rsidR="001E2E64" w:rsidRPr="00ED25BB" w:rsidRDefault="001E2E64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Про той факт що земля не може бути предметом продажу, висловлювався і відомий релігійний діяч Папа Римський Іоан Павло ІІ: «Бог дав землю всьому роду людському, щоб годувала всіх його членів без винятку, не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ставлячи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ні кого у привілейоване становище»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[5, 36 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en-US"/>
        </w:rPr>
        <w:t>c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>]</w:t>
      </w:r>
      <w:r w:rsidRPr="00ED25BB">
        <w:rPr>
          <w:rFonts w:ascii="Times New Roman" w:hAnsi="Times New Roman"/>
          <w:color w:val="0F243E"/>
          <w:sz w:val="28"/>
          <w:szCs w:val="28"/>
        </w:rPr>
        <w:t>.</w:t>
      </w:r>
    </w:p>
    <w:p w:rsidR="004F069B" w:rsidRPr="00ED25BB" w:rsidRDefault="004F069B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Нинішнє керівництво нашої країни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запевняє 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нас,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що зняття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мораторію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дозволить Україні 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>швидше розвиватися, будуть залучатися іноземні інвестиції, буде процвітати українське село. Але чи справді це так?</w:t>
      </w:r>
    </w:p>
    <w:p w:rsidR="003A051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На протязі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останніх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 років відбул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ася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1E2E64" w:rsidRPr="00ED25BB">
        <w:rPr>
          <w:rFonts w:ascii="Times New Roman" w:hAnsi="Times New Roman"/>
          <w:color w:val="0F243E"/>
          <w:sz w:val="28"/>
          <w:szCs w:val="28"/>
        </w:rPr>
        <w:t>при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ватизація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 таких великих державних підприємст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>в як: «Криворіжсталь», «Запоріж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сталь», «Укртелеком».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Останнім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 часом ходять чутки про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продаж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 «НАК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>нафтогаз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України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 xml:space="preserve">», </w:t>
      </w:r>
      <w:r w:rsidR="008A5033" w:rsidRPr="00ED25BB">
        <w:rPr>
          <w:rFonts w:ascii="Times New Roman" w:hAnsi="Times New Roman"/>
          <w:color w:val="0F243E"/>
          <w:sz w:val="28"/>
          <w:szCs w:val="28"/>
        </w:rPr>
        <w:t xml:space="preserve">а </w:t>
      </w:r>
      <w:r w:rsidR="003A051E" w:rsidRPr="00ED25BB">
        <w:rPr>
          <w:rFonts w:ascii="Times New Roman" w:hAnsi="Times New Roman"/>
          <w:color w:val="0F243E"/>
          <w:sz w:val="28"/>
          <w:szCs w:val="28"/>
        </w:rPr>
        <w:t>«Укрзалізницю» хочуть зробити акціонерним товариством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</w:t>
      </w:r>
      <w:r w:rsidR="0057591D" w:rsidRPr="00ED25BB">
        <w:rPr>
          <w:rFonts w:ascii="Times New Roman" w:hAnsi="Times New Roman"/>
          <w:color w:val="0F243E"/>
          <w:sz w:val="28"/>
          <w:szCs w:val="28"/>
        </w:rPr>
        <w:t>.</w:t>
      </w:r>
    </w:p>
    <w:p w:rsidR="003A051E" w:rsidRPr="00ED25BB" w:rsidRDefault="003A051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Такими темпами за років два-три, влада розпродасть всі підприємства, які знаходяться в державній власності. </w:t>
      </w:r>
    </w:p>
    <w:p w:rsidR="003A051E" w:rsidRPr="00ED25BB" w:rsidRDefault="003A051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Що ж залишається – земля. Єдиний державний ресурс який ще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законно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не м</w:t>
      </w:r>
      <w:r w:rsidR="0057591D" w:rsidRPr="00ED25BB">
        <w:rPr>
          <w:rFonts w:ascii="Times New Roman" w:hAnsi="Times New Roman"/>
          <w:color w:val="0F243E"/>
          <w:sz w:val="28"/>
          <w:szCs w:val="28"/>
        </w:rPr>
        <w:t>іг продаватися (хоча зафіксовано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не одну купівлю-продаж землі через не досконале законодавство) це земля. Що ж Україна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отримає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57591D" w:rsidRPr="00ED25BB">
        <w:rPr>
          <w:rFonts w:ascii="Times New Roman" w:hAnsi="Times New Roman"/>
          <w:color w:val="0F243E"/>
          <w:sz w:val="28"/>
          <w:szCs w:val="28"/>
        </w:rPr>
        <w:t>від «вільного ринку землі»?</w:t>
      </w:r>
    </w:p>
    <w:p w:rsidR="0081435A" w:rsidRPr="00ED25BB" w:rsidRDefault="005E5D0F" w:rsidP="0081435A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Згідно з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кадастровими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цінами, 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зараз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вартість землі коливається в межах 10-12 тис. грн., за один гекта</w:t>
      </w:r>
      <w:r w:rsidR="0057591D" w:rsidRPr="00ED25BB">
        <w:rPr>
          <w:rFonts w:ascii="Times New Roman" w:hAnsi="Times New Roman"/>
          <w:color w:val="0F243E"/>
          <w:sz w:val="28"/>
          <w:szCs w:val="28"/>
        </w:rPr>
        <w:t>р, згідно з законом який має на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брати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чинності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після зняття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мораторію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,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кадастрова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ціна </w:t>
      </w:r>
      <w:r w:rsidR="00CB0317" w:rsidRPr="00ED25BB">
        <w:rPr>
          <w:rFonts w:ascii="Times New Roman" w:hAnsi="Times New Roman"/>
          <w:color w:val="0F243E"/>
          <w:sz w:val="28"/>
          <w:szCs w:val="28"/>
        </w:rPr>
        <w:t xml:space="preserve">буде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встановлена</w:t>
      </w:r>
      <w:r w:rsidR="00CB0317" w:rsidRPr="00ED25BB">
        <w:rPr>
          <w:rFonts w:ascii="Times New Roman" w:hAnsi="Times New Roman"/>
          <w:color w:val="0F243E"/>
          <w:sz w:val="28"/>
          <w:szCs w:val="28"/>
        </w:rPr>
        <w:t xml:space="preserve"> на рівні, </w:t>
      </w:r>
      <w:r w:rsidR="0057591D" w:rsidRPr="00ED25BB">
        <w:rPr>
          <w:rFonts w:ascii="Times New Roman" w:hAnsi="Times New Roman"/>
          <w:color w:val="0F243E"/>
          <w:sz w:val="28"/>
          <w:szCs w:val="28"/>
        </w:rPr>
        <w:t>за один гектар 19,5 тис. грн.. Я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кщо цю суму перемножити на всі сільськогосподарські землі України, </w:t>
      </w:r>
      <w:r w:rsidRPr="00ED25BB">
        <w:rPr>
          <w:rFonts w:ascii="Times New Roman" w:hAnsi="Times New Roman"/>
          <w:color w:val="0F243E"/>
          <w:sz w:val="28"/>
          <w:szCs w:val="28"/>
        </w:rPr>
        <w:lastRenderedPageBreak/>
        <w:t>що становлять за оцінками ИК «Тройка Д</w:t>
      </w:r>
      <w:r w:rsidR="00CB0317" w:rsidRPr="00ED25BB">
        <w:rPr>
          <w:rFonts w:ascii="Times New Roman" w:hAnsi="Times New Roman"/>
          <w:color w:val="0F243E"/>
          <w:sz w:val="28"/>
          <w:szCs w:val="28"/>
        </w:rPr>
        <w:t>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алог </w:t>
      </w:r>
      <w:r w:rsidR="00CB0317" w:rsidRPr="00ED25BB">
        <w:rPr>
          <w:rFonts w:ascii="Times New Roman" w:hAnsi="Times New Roman"/>
          <w:color w:val="0F243E"/>
          <w:sz w:val="28"/>
          <w:szCs w:val="28"/>
        </w:rPr>
        <w:t>Україна» - 32,5 млн. гектарів, виходить приблизно 32,5 – 48,8 млрд. доларів</w:t>
      </w:r>
      <w:r w:rsidR="0081435A" w:rsidRPr="00ED25BB">
        <w:rPr>
          <w:rFonts w:ascii="Times New Roman" w:hAnsi="Times New Roman"/>
          <w:color w:val="0F243E"/>
          <w:sz w:val="28"/>
          <w:szCs w:val="28"/>
        </w:rPr>
        <w:t xml:space="preserve"> [16]</w:t>
      </w:r>
      <w:r w:rsidR="00CB0317" w:rsidRPr="00ED25BB">
        <w:rPr>
          <w:rFonts w:ascii="Times New Roman" w:hAnsi="Times New Roman"/>
          <w:color w:val="0F243E"/>
          <w:sz w:val="28"/>
          <w:szCs w:val="28"/>
        </w:rPr>
        <w:t>.</w:t>
      </w:r>
    </w:p>
    <w:p w:rsidR="00CB0317" w:rsidRPr="00ED25BB" w:rsidRDefault="00CB0317" w:rsidP="0081435A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 Тобто Україну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можуть «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продати</w:t>
      </w:r>
      <w:r w:rsidRPr="00ED25BB">
        <w:rPr>
          <w:rFonts w:ascii="Times New Roman" w:hAnsi="Times New Roman"/>
          <w:color w:val="0F243E"/>
          <w:sz w:val="28"/>
          <w:szCs w:val="28"/>
        </w:rPr>
        <w:t>» за менш як пів сотні мільярдів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доларів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EF0506" w:rsidRPr="00ED25BB" w:rsidRDefault="00EF0506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Але й ця сума коштів тобто 19,5 тис. грн., яку хочуть встановити за  гектар на зако</w:t>
      </w:r>
      <w:r w:rsidR="0057591D" w:rsidRPr="00ED25BB">
        <w:rPr>
          <w:rFonts w:ascii="Times New Roman" w:hAnsi="Times New Roman"/>
          <w:color w:val="0F243E"/>
          <w:sz w:val="28"/>
          <w:szCs w:val="28"/>
        </w:rPr>
        <w:t>нодавчому рівні є просто мізерною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в порівнянні з іншими країнами світу</w:t>
      </w:r>
      <w:r w:rsidR="0057591D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      [</w:t>
      </w:r>
      <w:r w:rsidRPr="00ED25BB">
        <w:rPr>
          <w:rFonts w:ascii="Times New Roman" w:hAnsi="Times New Roman"/>
          <w:color w:val="0F243E"/>
          <w:sz w:val="28"/>
          <w:szCs w:val="28"/>
        </w:rPr>
        <w:t>рис. 1.</w:t>
      </w:r>
      <w:r w:rsidR="0057591D" w:rsidRPr="00ED25BB">
        <w:rPr>
          <w:rFonts w:ascii="Times New Roman" w:hAnsi="Times New Roman"/>
          <w:color w:val="0F243E"/>
          <w:sz w:val="28"/>
          <w:szCs w:val="28"/>
          <w:lang w:val="ru-RU"/>
        </w:rPr>
        <w:t>]</w:t>
      </w:r>
    </w:p>
    <w:p w:rsidR="00EF0506" w:rsidRPr="00ED25BB" w:rsidRDefault="004C0642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noProof/>
          <w:color w:val="0F243E"/>
          <w:sz w:val="28"/>
          <w:szCs w:val="28"/>
        </w:rPr>
        <w:drawing>
          <wp:inline distT="0" distB="0" distL="0" distR="0">
            <wp:extent cx="5505450" cy="3295650"/>
            <wp:effectExtent l="19050" t="0" r="1905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60BA" w:rsidRPr="00ED25BB" w:rsidRDefault="005F60BA" w:rsidP="00936512">
      <w:pPr>
        <w:spacing w:after="0" w:line="360" w:lineRule="auto"/>
        <w:ind w:left="284" w:firstLine="709"/>
        <w:jc w:val="center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Рис. 1. Ціна землі в Україні та в світі</w:t>
      </w:r>
      <w:r w:rsidR="00936512" w:rsidRPr="00ED25BB">
        <w:rPr>
          <w:rFonts w:ascii="Times New Roman" w:hAnsi="Times New Roman"/>
          <w:color w:val="0F243E"/>
          <w:sz w:val="28"/>
          <w:szCs w:val="28"/>
        </w:rPr>
        <w:t xml:space="preserve"> (Тисяч доларів за 1 гектар землі)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[16].</w:t>
      </w:r>
    </w:p>
    <w:p w:rsidR="00CB0317" w:rsidRPr="00ED25BB" w:rsidRDefault="00CB0317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Але це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не факт</w:t>
      </w:r>
      <w:r w:rsidR="00936512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що саме така ціна буде за гектар</w:t>
      </w:r>
      <w:r w:rsidR="00936512" w:rsidRPr="00ED25BB">
        <w:rPr>
          <w:rFonts w:ascii="Times New Roman" w:hAnsi="Times New Roman"/>
          <w:color w:val="0F243E"/>
          <w:sz w:val="28"/>
          <w:szCs w:val="28"/>
        </w:rPr>
        <w:t xml:space="preserve"> землі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, ціни на землю буде встановлювати  ринок. А зважаючи на те що українське село «доведено» до зубожіння (кожен третій середньостатистичний житель села живе за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межею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бідності), для багатьох селян продаж свого паю буде єдиним шляхом для виживання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[19]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. Що в свою чергу збільшить пропозицію землі, що може викликати падіння цін на землю, як це було під час кризи </w:t>
      </w:r>
      <w:r w:rsidR="00936512" w:rsidRPr="00ED25BB">
        <w:rPr>
          <w:rFonts w:ascii="Times New Roman" w:hAnsi="Times New Roman"/>
          <w:color w:val="0F243E"/>
          <w:sz w:val="28"/>
          <w:szCs w:val="28"/>
        </w:rPr>
        <w:t xml:space="preserve"> 2007 року</w:t>
      </w:r>
      <w:r w:rsidRPr="00ED25BB">
        <w:rPr>
          <w:rFonts w:ascii="Times New Roman" w:hAnsi="Times New Roman"/>
          <w:color w:val="0F243E"/>
          <w:sz w:val="28"/>
          <w:szCs w:val="28"/>
        </w:rPr>
        <w:t>. До 2007 року орендна плата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за один гектар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>сягала 300-400 доларів</w:t>
      </w:r>
      <w:r w:rsidRPr="00ED25BB">
        <w:rPr>
          <w:rFonts w:ascii="Times New Roman" w:hAnsi="Times New Roman"/>
          <w:color w:val="0F243E"/>
          <w:sz w:val="28"/>
          <w:szCs w:val="28"/>
        </w:rPr>
        <w:t>, після настання кризи ціна впала до 30-50 доларів за гектар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>. Тобто ймовірний повтор ситуації коли ринок переповнений пропозицією землі</w:t>
      </w:r>
      <w:r w:rsidR="00D06A45" w:rsidRPr="00ED25BB">
        <w:rPr>
          <w:rFonts w:ascii="Times New Roman" w:hAnsi="Times New Roman"/>
          <w:color w:val="0F243E"/>
          <w:sz w:val="28"/>
          <w:szCs w:val="28"/>
        </w:rPr>
        <w:t>,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а попит невеликий відповідно ціни на землю різко поповзуть до низу. Що дасть змогу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земельним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лендлордам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скуповувати тисячі гектарів за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безцінь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>.</w:t>
      </w:r>
      <w:r w:rsidR="00902F77" w:rsidRPr="00ED25BB">
        <w:rPr>
          <w:rFonts w:ascii="Times New Roman" w:hAnsi="Times New Roman"/>
          <w:color w:val="0F243E"/>
          <w:sz w:val="28"/>
          <w:szCs w:val="28"/>
        </w:rPr>
        <w:t xml:space="preserve"> І це все може відбутися з одни</w:t>
      </w:r>
      <w:r w:rsidR="00D06A45" w:rsidRPr="00ED25BB">
        <w:rPr>
          <w:rFonts w:ascii="Times New Roman" w:hAnsi="Times New Roman"/>
          <w:color w:val="0F243E"/>
          <w:sz w:val="28"/>
          <w:szCs w:val="28"/>
        </w:rPr>
        <w:t xml:space="preserve">ми з </w:t>
      </w:r>
      <w:r w:rsidR="00D06A45" w:rsidRPr="00ED25BB">
        <w:rPr>
          <w:rFonts w:ascii="Times New Roman" w:hAnsi="Times New Roman"/>
          <w:color w:val="0F243E"/>
          <w:sz w:val="28"/>
          <w:szCs w:val="28"/>
        </w:rPr>
        <w:lastRenderedPageBreak/>
        <w:t xml:space="preserve">найкращих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чорноземів</w:t>
      </w:r>
      <w:r w:rsidR="00D06A45" w:rsidRPr="00ED25BB">
        <w:rPr>
          <w:rFonts w:ascii="Times New Roman" w:hAnsi="Times New Roman"/>
          <w:color w:val="0F243E"/>
          <w:sz w:val="28"/>
          <w:szCs w:val="28"/>
        </w:rPr>
        <w:t xml:space="preserve"> світу (з</w:t>
      </w:r>
      <w:r w:rsidR="00902F77" w:rsidRPr="00ED25BB">
        <w:rPr>
          <w:rFonts w:ascii="Times New Roman" w:hAnsi="Times New Roman"/>
          <w:color w:val="0F243E"/>
          <w:sz w:val="28"/>
          <w:szCs w:val="28"/>
        </w:rPr>
        <w:t>а різними підрахунками Україна займає друге місце в світі по запасах чорноземів</w:t>
      </w:r>
      <w:r w:rsidR="00D06A45" w:rsidRPr="00ED25BB">
        <w:rPr>
          <w:rFonts w:ascii="Times New Roman" w:hAnsi="Times New Roman"/>
          <w:color w:val="0F243E"/>
          <w:sz w:val="28"/>
          <w:szCs w:val="28"/>
        </w:rPr>
        <w:t>)</w:t>
      </w:r>
      <w:r w:rsidR="00902F77" w:rsidRPr="00ED25BB">
        <w:rPr>
          <w:rFonts w:ascii="Times New Roman" w:hAnsi="Times New Roman"/>
          <w:color w:val="0F243E"/>
          <w:sz w:val="28"/>
          <w:szCs w:val="28"/>
        </w:rPr>
        <w:t>.</w:t>
      </w:r>
    </w:p>
    <w:p w:rsidR="00293B6C" w:rsidRPr="00ED25BB" w:rsidRDefault="00D06A45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Згідно з законодавчою базою яка готується для зняття мораторію на продаж землі та встановлення «вільного ринку землі» в Україні, встановлюється певна обсяг гектарів землі,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D25BB">
        <w:rPr>
          <w:rFonts w:ascii="Times New Roman" w:hAnsi="Times New Roman"/>
          <w:color w:val="0F243E"/>
          <w:sz w:val="28"/>
          <w:szCs w:val="28"/>
        </w:rPr>
        <w:t>які можу бути с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к</w:t>
      </w:r>
      <w:r w:rsidRPr="00ED25BB">
        <w:rPr>
          <w:rFonts w:ascii="Times New Roman" w:hAnsi="Times New Roman"/>
          <w:color w:val="0F243E"/>
          <w:sz w:val="28"/>
          <w:szCs w:val="28"/>
        </w:rPr>
        <w:t>онцентровані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в одних руках. Під час розгляду квоти яка має бути встановлена на обмеження кількості землі в одних руках, думки політиків та вчених розділилися, спочатку навіть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пропонувати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51 000 тис. гектарів в одні руки, але ця пропозиція як говориться була «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виметена</w:t>
      </w:r>
      <w:r w:rsidR="00A87B72" w:rsidRPr="00ED25BB">
        <w:rPr>
          <w:rFonts w:ascii="Times New Roman" w:hAnsi="Times New Roman"/>
          <w:color w:val="0F243E"/>
          <w:sz w:val="28"/>
          <w:szCs w:val="28"/>
        </w:rPr>
        <w:t xml:space="preserve"> ще на порозі»,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зараз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говорять про 21 000 гектарів в одні руки, таку цифру назва</w:t>
      </w:r>
      <w:r w:rsidRPr="00ED25BB">
        <w:rPr>
          <w:rFonts w:ascii="Times New Roman" w:hAnsi="Times New Roman"/>
          <w:color w:val="0F243E"/>
          <w:sz w:val="28"/>
          <w:szCs w:val="28"/>
        </w:rPr>
        <w:t>в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голова Державного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агентства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земельних ресурсів України Сергій Тимченко в своєму інтерв’ю газеті «Коментарі»: «21 000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гектарів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виникла не просто так ми спираємо</w:t>
      </w:r>
      <w:r w:rsidRPr="00ED25BB">
        <w:rPr>
          <w:rFonts w:ascii="Times New Roman" w:hAnsi="Times New Roman"/>
          <w:color w:val="0F243E"/>
          <w:sz w:val="28"/>
          <w:szCs w:val="28"/>
        </w:rPr>
        <w:t>сь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на дослідження Академії аграрних наук. Її фахівці впевнені, що для ведення ефективного господарювання з урахуванням сучасних технологій і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ефективності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виробництва потрібна площа не менша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>,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 ніж ця»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[20]</w:t>
      </w:r>
      <w:r w:rsidR="00293B6C" w:rsidRPr="00ED25BB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293B6C" w:rsidRPr="00ED25BB" w:rsidRDefault="00293B6C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Але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ось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тут помиляється або Сергій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Тимченко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або ж вчені Академії аграрних</w:t>
      </w:r>
      <w:r w:rsidR="00D06A45" w:rsidRPr="00ED25BB">
        <w:rPr>
          <w:rFonts w:ascii="Times New Roman" w:hAnsi="Times New Roman"/>
          <w:color w:val="0F243E"/>
          <w:sz w:val="28"/>
          <w:szCs w:val="28"/>
        </w:rPr>
        <w:t xml:space="preserve"> наук</w:t>
      </w:r>
      <w:r w:rsidRPr="00ED25BB">
        <w:rPr>
          <w:rFonts w:ascii="Times New Roman" w:hAnsi="Times New Roman"/>
          <w:color w:val="0F243E"/>
          <w:sz w:val="28"/>
          <w:szCs w:val="28"/>
        </w:rPr>
        <w:t>, так як для рентабельного господарювання вистачає 400 гектарів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[15]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. </w:t>
      </w:r>
    </w:p>
    <w:p w:rsidR="00293B6C" w:rsidRPr="00ED25BB" w:rsidRDefault="00293B6C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А можливо і ніхто не помиляється,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можливо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цей факт просто замовчують для того щоб розпродати українські землі олігархам.</w:t>
      </w:r>
    </w:p>
    <w:p w:rsidR="00A87B72" w:rsidRPr="00ED25BB" w:rsidRDefault="00293B6C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На даний час в українському агрокомплексі, працює не так і багато «величезних» агрохолдингів</w:t>
      </w:r>
      <w:r w:rsidR="00A054D5" w:rsidRPr="00ED25BB">
        <w:rPr>
          <w:rFonts w:ascii="Times New Roman" w:hAnsi="Times New Roman"/>
          <w:color w:val="0F243E"/>
          <w:sz w:val="28"/>
          <w:szCs w:val="28"/>
        </w:rPr>
        <w:t xml:space="preserve">, основні  з них та їх володіння </w:t>
      </w:r>
      <w:r w:rsidR="00902F77" w:rsidRPr="00ED25BB">
        <w:rPr>
          <w:rFonts w:ascii="Times New Roman" w:hAnsi="Times New Roman"/>
          <w:color w:val="0F243E"/>
          <w:sz w:val="28"/>
          <w:szCs w:val="28"/>
        </w:rPr>
        <w:t>зображені на рис. 2</w:t>
      </w:r>
      <w:r w:rsidR="00A054D5" w:rsidRPr="00ED25BB">
        <w:rPr>
          <w:rFonts w:ascii="Times New Roman" w:hAnsi="Times New Roman"/>
          <w:color w:val="0F243E"/>
          <w:sz w:val="28"/>
          <w:szCs w:val="28"/>
        </w:rPr>
        <w:t>.</w:t>
      </w:r>
    </w:p>
    <w:p w:rsidR="00A054D5" w:rsidRPr="00ED25BB" w:rsidRDefault="004C0642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>
        <w:rPr>
          <w:rFonts w:ascii="Times New Roman" w:hAnsi="Times New Roman"/>
          <w:noProof/>
          <w:color w:val="0F243E"/>
          <w:sz w:val="28"/>
          <w:szCs w:val="28"/>
        </w:rPr>
        <w:lastRenderedPageBreak/>
        <w:drawing>
          <wp:inline distT="0" distB="0" distL="0" distR="0">
            <wp:extent cx="5505450" cy="3495675"/>
            <wp:effectExtent l="19050" t="0" r="1905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054D5" w:rsidRPr="00ED25BB" w:rsidRDefault="00902F77" w:rsidP="00936512">
      <w:pPr>
        <w:spacing w:after="0" w:line="360" w:lineRule="auto"/>
        <w:ind w:left="284" w:firstLine="709"/>
        <w:jc w:val="center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Рис. 2</w:t>
      </w:r>
      <w:r w:rsidR="00A054D5" w:rsidRPr="00ED25BB">
        <w:rPr>
          <w:rFonts w:ascii="Times New Roman" w:hAnsi="Times New Roman"/>
          <w:color w:val="0F243E"/>
          <w:sz w:val="28"/>
          <w:szCs w:val="28"/>
        </w:rPr>
        <w:t>.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9E43BD" w:rsidRPr="00ED25BB">
        <w:rPr>
          <w:rFonts w:ascii="Times New Roman" w:hAnsi="Times New Roman"/>
          <w:color w:val="0F243E"/>
          <w:sz w:val="28"/>
          <w:szCs w:val="28"/>
        </w:rPr>
        <w:t>Найбільші землевласники в Україні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(тисяч гектарів)</w:t>
      </w:r>
      <w:r w:rsidR="0081435A"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[22].</w:t>
      </w:r>
    </w:p>
    <w:p w:rsidR="009E43BD" w:rsidRPr="00ED25BB" w:rsidRDefault="009E43BD" w:rsidP="004D2AF1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Якщо враховувати той факт, що агрохолдинги заробляють від 800 доларів з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>а обробку одного гектара землі. Оскільки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земля буде коштувати близько 20 тис. грн.,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(згідно з кадастовими цінами які передбачені в проекті Закону),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а заробляють агрохолдинги 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>близько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4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D25BB">
        <w:rPr>
          <w:rFonts w:ascii="Times New Roman" w:hAnsi="Times New Roman"/>
          <w:color w:val="0F243E"/>
          <w:sz w:val="28"/>
          <w:szCs w:val="28"/>
        </w:rPr>
        <w:t>000 грн. за один гектар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обробленої землі,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виходить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що за п’ять років інвестор повністю поверне свої інвестиції,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які він вклав у землю. З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важаючи на те що при правильному (раціональному)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використанні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одних з </w:t>
      </w:r>
      <w:r w:rsidRPr="00ED25BB">
        <w:rPr>
          <w:rFonts w:ascii="Times New Roman" w:hAnsi="Times New Roman"/>
          <w:color w:val="0F243E"/>
          <w:sz w:val="28"/>
          <w:szCs w:val="28"/>
        </w:rPr>
        <w:t>найкращих чорноземів світу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(українських),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землю можна використовувати «вічно».</w:t>
      </w:r>
    </w:p>
    <w:p w:rsidR="004D2AF1" w:rsidRPr="00ED25BB" w:rsidRDefault="004D2AF1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Зважаючи на вище сказане можна зробити наступні висновки та надати пропозиції щодо зняття мораторію на продаж землі в Україні.</w:t>
      </w:r>
    </w:p>
    <w:p w:rsidR="005E5D0F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Від знаття мораторію українська влада зможе отримувати доходи двома шляхами: від податків, які будуть сплачуватися від продажу землі а також від продажу земель, які знаходяться у власності держави (близько 15% сільськогосподарських угідь України знаходяться у державній власності).</w:t>
      </w:r>
    </w:p>
    <w:p w:rsidR="004876A7" w:rsidRPr="00ED25BB" w:rsidRDefault="004876A7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Держава може отримати доходи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>,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але може втрати свою територію. Законодавчою базою яку готують для вільного ринку землі, встановлюються обмеження для того щоб іноземці не могли кувати наші землі тобто нашу т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>ериторію. Але варто згадати нещо</w:t>
      </w:r>
      <w:r w:rsidRPr="00ED25BB">
        <w:rPr>
          <w:rFonts w:ascii="Times New Roman" w:hAnsi="Times New Roman"/>
          <w:color w:val="0F243E"/>
          <w:sz w:val="28"/>
          <w:szCs w:val="28"/>
        </w:rPr>
        <w:t>д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>а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вні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реформи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агросектору Угорщини де </w:t>
      </w:r>
      <w:r w:rsidRPr="00ED25BB">
        <w:rPr>
          <w:rFonts w:ascii="Times New Roman" w:hAnsi="Times New Roman"/>
          <w:color w:val="0F243E"/>
          <w:sz w:val="28"/>
          <w:szCs w:val="28"/>
        </w:rPr>
        <w:lastRenderedPageBreak/>
        <w:t xml:space="preserve">також були встановлені законодавчі обмеження для продажу землі іноземцям. Проблеми в тому, що в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Угорщині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як і в, Україні, розвивається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тіньовий ринок землі. Існує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немало прикладів схем, за якими іноземні юридичні особи стають не орендарями а</w:t>
      </w:r>
      <w:r w:rsidR="004D2AF1" w:rsidRPr="00ED25BB">
        <w:rPr>
          <w:rFonts w:ascii="Times New Roman" w:hAnsi="Times New Roman"/>
          <w:color w:val="0F243E"/>
          <w:sz w:val="28"/>
          <w:szCs w:val="28"/>
        </w:rPr>
        <w:t xml:space="preserve"> власниками Угорської землі. Наприклад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, іноземна фірма, купує акції угорської сільськогосподарської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компанії</w:t>
      </w:r>
      <w:r w:rsidRPr="00ED25BB">
        <w:rPr>
          <w:rFonts w:ascii="Times New Roman" w:hAnsi="Times New Roman"/>
          <w:color w:val="0F243E"/>
          <w:sz w:val="28"/>
          <w:szCs w:val="28"/>
        </w:rPr>
        <w:t>, що</w:t>
      </w:r>
      <w:r w:rsidR="00273BC2"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ED25BB">
        <w:rPr>
          <w:rFonts w:ascii="Times New Roman" w:hAnsi="Times New Roman"/>
          <w:color w:val="0F243E"/>
          <w:sz w:val="28"/>
          <w:szCs w:val="28"/>
        </w:rPr>
        <w:t>спеціалізується на обробці землі, здійснює прямі інвестиції в економіку країни і, таким чином обмеження для неї знімаються.</w:t>
      </w:r>
    </w:p>
    <w:p w:rsidR="00273BC2" w:rsidRPr="00ED25BB" w:rsidRDefault="004876A7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Що свідчить про недієздатність захистити землі від за</w:t>
      </w:r>
      <w:r w:rsidR="00273BC2" w:rsidRPr="00ED25BB">
        <w:rPr>
          <w:rFonts w:ascii="Times New Roman" w:hAnsi="Times New Roman"/>
          <w:color w:val="0F243E"/>
          <w:sz w:val="28"/>
          <w:szCs w:val="28"/>
        </w:rPr>
        <w:t>гарбання іноземними інвесторами.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8D3473" w:rsidRPr="00ED25BB" w:rsidRDefault="00273BC2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Також, продаж землі суттєво не зменшить безробіття в Україні (один із аргументів нинішньої влади на користь зняття мораторію – зменшення безробіття). Так як, сучасні агрохолдинги потребують мінімальності кількості людської роботи (майже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повністю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механізоване виробництво). «Щастить», близько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п'ятдесяти-шістдесяти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робітникам, які обслуговують механізми. З такою кількістю робочих на агрохолдингах суттєво зменшити безробіття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буде дуже тяжко</w:t>
      </w:r>
      <w:r w:rsidRPr="00ED25BB">
        <w:rPr>
          <w:rFonts w:ascii="Times New Roman" w:hAnsi="Times New Roman"/>
          <w:color w:val="0F243E"/>
          <w:sz w:val="28"/>
          <w:szCs w:val="28"/>
        </w:rPr>
        <w:t>.</w:t>
      </w:r>
    </w:p>
    <w:p w:rsidR="00756DDD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Зважаючи на вище</w:t>
      </w:r>
      <w:r w:rsidR="008D3473" w:rsidRPr="00ED25BB">
        <w:rPr>
          <w:rFonts w:ascii="Times New Roman" w:hAnsi="Times New Roman"/>
          <w:color w:val="0F243E"/>
          <w:sz w:val="28"/>
          <w:szCs w:val="28"/>
        </w:rPr>
        <w:t>сказане реформи аграрного с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ектору неодмінно потрібні, але </w:t>
      </w:r>
      <w:r w:rsidR="008D3473" w:rsidRPr="00ED25BB">
        <w:rPr>
          <w:rFonts w:ascii="Times New Roman" w:hAnsi="Times New Roman"/>
          <w:color w:val="0F243E"/>
          <w:sz w:val="28"/>
          <w:szCs w:val="28"/>
        </w:rPr>
        <w:t xml:space="preserve">мораторій знімати не потрібно, не має жодної економічної необхідності, розпродавати наші землі земельним </w:t>
      </w:r>
      <w:r w:rsidRPr="00ED25BB">
        <w:rPr>
          <w:rFonts w:ascii="Times New Roman" w:hAnsi="Times New Roman"/>
          <w:color w:val="0F243E"/>
          <w:sz w:val="28"/>
          <w:szCs w:val="28"/>
        </w:rPr>
        <w:t>лендлордам</w:t>
      </w:r>
      <w:r w:rsidR="008D3473" w:rsidRPr="00ED25BB">
        <w:rPr>
          <w:rFonts w:ascii="Times New Roman" w:hAnsi="Times New Roman"/>
          <w:color w:val="0F243E"/>
          <w:sz w:val="28"/>
          <w:szCs w:val="28"/>
        </w:rPr>
        <w:t xml:space="preserve"> за безцінь, щоб потім українці були ще більшими зубожілими і проживали не на своїй а на орендованій яку вони вже будуть орендувати в олігархів. </w:t>
      </w:r>
    </w:p>
    <w:p w:rsidR="008D3473" w:rsidRPr="00ED25BB" w:rsidRDefault="008D3473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Факт залишається фактом, ще не так багато часу до знаття мораторію, що вийде буде видно уже після </w:t>
      </w:r>
      <w:r w:rsidR="00CC73FE" w:rsidRPr="00ED25BB">
        <w:rPr>
          <w:rFonts w:ascii="Times New Roman" w:hAnsi="Times New Roman"/>
          <w:color w:val="0F243E"/>
          <w:sz w:val="28"/>
          <w:szCs w:val="28"/>
        </w:rPr>
        <w:t>встановлення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вільного ринку землі. Але хотілося б щоб наші нащадки не розплачувалися за наші помилки, щоб потім вони ж свою землю не викупляли в іноземців для того щоб проживати на своїй землі.</w:t>
      </w: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Саме під час написання цієї статті зняття мораторію відклали з 01.01.2012 року до 01.01.2013 року, що свідчить про неготовність а ні законодавчої бази а ні уряду до вільного ринку землі тобто до зняття мораторію.</w:t>
      </w:r>
    </w:p>
    <w:p w:rsidR="008D3473" w:rsidRPr="00ED25BB" w:rsidRDefault="008D3473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І на завершення хотів би висловитися словами Джозефа Поппа, який сказав «Якщо дати волю арабам та китайцям, вони скуплять усі землі в Україні</w:t>
      </w:r>
      <w:r w:rsidR="00481340" w:rsidRPr="00ED25BB">
        <w:rPr>
          <w:rFonts w:ascii="Times New Roman" w:hAnsi="Times New Roman"/>
          <w:color w:val="0F243E"/>
          <w:sz w:val="28"/>
          <w:szCs w:val="28"/>
        </w:rPr>
        <w:t>».</w:t>
      </w: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936512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CC73FE" w:rsidRPr="00ED25BB" w:rsidRDefault="00CC73FE" w:rsidP="00041303">
      <w:pPr>
        <w:pStyle w:val="a3"/>
        <w:spacing w:after="0" w:line="360" w:lineRule="auto"/>
        <w:ind w:left="851"/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b/>
          <w:color w:val="0F243E"/>
          <w:sz w:val="28"/>
          <w:szCs w:val="28"/>
        </w:rPr>
        <w:t>СПИСОК ВИКОРИСТАНОЇ ЛІТЕРАТУРИ</w:t>
      </w:r>
    </w:p>
    <w:p w:rsidR="00041303" w:rsidRPr="00ED25BB" w:rsidRDefault="00041303" w:rsidP="00041303">
      <w:pPr>
        <w:spacing w:after="0" w:line="360" w:lineRule="auto"/>
        <w:ind w:left="284" w:firstLine="567"/>
        <w:jc w:val="center"/>
        <w:rPr>
          <w:rFonts w:ascii="Times New Roman" w:hAnsi="Times New Roman"/>
          <w:b/>
          <w:color w:val="0F243E"/>
          <w:sz w:val="28"/>
          <w:szCs w:val="28"/>
          <w:lang w:val="ru-RU"/>
        </w:rPr>
      </w:pP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Коропецький І. С. / Українські економісти </w:t>
      </w:r>
      <w:r w:rsidRPr="00ED25BB">
        <w:rPr>
          <w:rFonts w:ascii="Times New Roman" w:hAnsi="Times New Roman"/>
          <w:color w:val="0F243E"/>
          <w:sz w:val="28"/>
          <w:szCs w:val="28"/>
          <w:lang w:val="en-US"/>
        </w:rPr>
        <w:t>XIX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століття та західна наука. – К.: Либідь, 1993. – 192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Смит А. / Исследование о природе и причинах богатства народа. – Петроком, 1993. – 320 с.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Туган-Барановський М. І. / Політична економіка. – К.: Наукова думка, 1994. – 262 с.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Ядгаров Я. С. / История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>Э</w:t>
      </w:r>
      <w:r w:rsidRPr="00ED25BB">
        <w:rPr>
          <w:rFonts w:ascii="Times New Roman" w:hAnsi="Times New Roman"/>
          <w:color w:val="0F243E"/>
          <w:sz w:val="28"/>
          <w:szCs w:val="28"/>
        </w:rPr>
        <w:t>кономических учений. – М.: ИНФРА-М, 2008. – 480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Економіка України (науковий журнал) / Павлишенко М. // «Приватизація землі та її соціально-економічні наслідки». – К.: Преса України, 2008. – 94с.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lastRenderedPageBreak/>
        <w:t>Економіка України (науковий журнал) / Самбук П. // «Стан і перспективи розвитку агропромислового комплексу України». – К.: Преса України, 2008. – 94с.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Зеркало недели /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Ведерникова </w:t>
      </w:r>
      <w:r w:rsidRPr="00ED25BB">
        <w:rPr>
          <w:rFonts w:ascii="Times New Roman" w:hAnsi="Times New Roman"/>
          <w:color w:val="0F243E"/>
          <w:sz w:val="28"/>
          <w:szCs w:val="28"/>
        </w:rPr>
        <w:t>І., Маскалевич І., Мостова Ю., Сколотяний Ю., Чопенко В., Яценко Н. // «Прости земля, ведь м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ы еще растем..». – К.: Зерколо недели, 2007. – 8-9 с.  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Зеркало недели /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Дегодюк Э.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// «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Земельные реформы нужны, но какие?». – К.: Зерколо недели, 2011. – 11 с.  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Зеркало недели /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Малиенко А.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// «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Завершение аграрной реформи, ринок земли – иние аспекти». – К.: Зерколо недели, 2011. – 8 с.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Зеркало недели /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Райзер М.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// «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Риски, связаные с ненадлежащей реализацией земельной реформы в Украине». – К.: Зерколо недели, 2011. – 8 с.  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Зеркало недели / Сколотяний Ю, Яценко Н. // «Венгерский оп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ыт и украинские реалии». – К.: Зерколо недели, 2007. – 11 с.  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Зеркало недели /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Чопенко В.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// «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«Базар» о рынке земли». – К.: Зерколо недели, 2011. – 7 с.  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Инвест газета /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Исакова Д.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// «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Барин мз Новой Зеландии». – К.: </w:t>
      </w:r>
      <w:r w:rsidRPr="00ED25BB">
        <w:rPr>
          <w:rFonts w:ascii="Times New Roman" w:hAnsi="Times New Roman"/>
          <w:color w:val="0F243E"/>
          <w:sz w:val="28"/>
          <w:szCs w:val="28"/>
        </w:rPr>
        <w:t>Инвест газета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, 2011., №8 – 24-25 с.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 xml:space="preserve">Инвест газета / 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>Полякова И., Мирошниченко В.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// «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Постсоветский аутсайдер». – К.: </w:t>
      </w:r>
      <w:r w:rsidRPr="00ED25BB">
        <w:rPr>
          <w:rFonts w:ascii="Times New Roman" w:hAnsi="Times New Roman"/>
          <w:color w:val="0F243E"/>
          <w:sz w:val="28"/>
          <w:szCs w:val="28"/>
        </w:rPr>
        <w:t>Инвест газета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, 2011., №28 – 28 – 30 с.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Инвест газета / Чернявская И. // «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Земельний ком». – К.: </w:t>
      </w:r>
      <w:r w:rsidRPr="00ED25BB">
        <w:rPr>
          <w:rFonts w:ascii="Times New Roman" w:hAnsi="Times New Roman"/>
          <w:color w:val="0F243E"/>
          <w:sz w:val="28"/>
          <w:szCs w:val="28"/>
        </w:rPr>
        <w:t>Инвест газета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, 2011., №20 – 18 – 22 с.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Инвест газета / Чернявская И. // «Лаком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ый кусок». – К.: </w:t>
      </w:r>
      <w:r w:rsidRPr="00ED25BB">
        <w:rPr>
          <w:rFonts w:ascii="Times New Roman" w:hAnsi="Times New Roman"/>
          <w:color w:val="0F243E"/>
          <w:sz w:val="28"/>
          <w:szCs w:val="28"/>
        </w:rPr>
        <w:t>Инвест газета</w:t>
      </w: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, 2011., №42 – 26 с. 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Коментарі / Джозеф Попп // «Про вільний ринок землі». – К.: Коментарі, 2011.,№24 – 13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Коментарі / Мартин А.  // «Почому буде земля». – К.: Коментарі, 2011., №40 –13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Коментарі / Неборак О. // «Українське село не вимирає. Воно деградує». – К.: Коментарі, 2011., №37 – 15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lastRenderedPageBreak/>
        <w:t>Коментарі / Пода В.  // «Про ринок землі». – К.: Коментарі, 2011., №42 –          16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Коментарі / Поліщук О.  // «Місцевому самврядуванню настав кінець». – К.: Коментарі, 2011.,№21 – 10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Коментарі / Попель С. // «Земельний урожай латифундистів». – К.: Коментарі, 2011.,№44 – 8 с.</w:t>
      </w:r>
    </w:p>
    <w:p w:rsidR="00041303" w:rsidRPr="00ED25BB" w:rsidRDefault="00041303" w:rsidP="00041303">
      <w:pPr>
        <w:pStyle w:val="a3"/>
        <w:numPr>
          <w:ilvl w:val="0"/>
          <w:numId w:val="2"/>
        </w:num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</w:rPr>
        <w:t>Коментарі / Щербина Ю. // «Земельна мафія не перемогла земельну мафію». – К.: Коментарі, 2011., №40 – 12 с.</w:t>
      </w:r>
    </w:p>
    <w:p w:rsidR="006E1EA5" w:rsidRPr="00ED25BB" w:rsidRDefault="006E1EA5" w:rsidP="00041303">
      <w:p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</w:p>
    <w:p w:rsidR="006E1EA5" w:rsidRPr="00ED25BB" w:rsidRDefault="006E1EA5" w:rsidP="00041303">
      <w:p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FA2AFA" w:rsidRPr="00ED25BB" w:rsidRDefault="00FA2AFA" w:rsidP="00041303">
      <w:p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FA2AFA" w:rsidRPr="00ED25BB" w:rsidRDefault="00FA2AFA" w:rsidP="00041303">
      <w:p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FA2AFA" w:rsidRPr="00ED25BB" w:rsidRDefault="00FA2AFA" w:rsidP="00041303">
      <w:pPr>
        <w:spacing w:after="0" w:line="360" w:lineRule="auto"/>
        <w:ind w:left="284" w:firstLine="567"/>
        <w:jc w:val="both"/>
        <w:rPr>
          <w:rFonts w:ascii="Times New Roman" w:hAnsi="Times New Roman"/>
          <w:color w:val="0F243E"/>
          <w:sz w:val="28"/>
          <w:szCs w:val="28"/>
        </w:rPr>
      </w:pPr>
    </w:p>
    <w:p w:rsidR="00FA2AFA" w:rsidRPr="00ED25BB" w:rsidRDefault="00FA2AFA" w:rsidP="00FA2AFA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  <w:lang w:val="ru-RU"/>
        </w:rPr>
      </w:pPr>
    </w:p>
    <w:p w:rsidR="00FA2AFA" w:rsidRPr="00ED25BB" w:rsidRDefault="00FA2AFA" w:rsidP="00FA2AFA">
      <w:pPr>
        <w:spacing w:after="0" w:line="360" w:lineRule="auto"/>
        <w:ind w:left="284" w:firstLine="709"/>
        <w:jc w:val="both"/>
        <w:rPr>
          <w:color w:val="0F243E"/>
        </w:rPr>
      </w:pPr>
    </w:p>
    <w:p w:rsidR="00FA2AFA" w:rsidRPr="00ED25BB" w:rsidRDefault="00FA2AFA" w:rsidP="00FA2AFA">
      <w:pPr>
        <w:spacing w:after="0" w:line="360" w:lineRule="auto"/>
        <w:ind w:left="284" w:firstLine="709"/>
        <w:jc w:val="both"/>
        <w:rPr>
          <w:rFonts w:ascii="Times New Roman" w:hAnsi="Times New Roman"/>
          <w:color w:val="0F243E"/>
          <w:sz w:val="28"/>
          <w:szCs w:val="28"/>
        </w:rPr>
      </w:pPr>
      <w:r w:rsidRPr="00ED25BB">
        <w:rPr>
          <w:rFonts w:ascii="Times New Roman" w:hAnsi="Times New Roman"/>
          <w:color w:val="0F243E"/>
          <w:sz w:val="28"/>
          <w:szCs w:val="28"/>
          <w:lang w:val="ru-RU"/>
        </w:rPr>
        <w:t xml:space="preserve">  </w:t>
      </w:r>
      <w:r w:rsidRPr="00ED25BB">
        <w:rPr>
          <w:rFonts w:ascii="Times New Roman" w:hAnsi="Times New Roman"/>
          <w:color w:val="0F243E"/>
          <w:sz w:val="28"/>
          <w:szCs w:val="28"/>
        </w:rPr>
        <w:t xml:space="preserve"> </w:t>
      </w:r>
    </w:p>
    <w:p w:rsidR="00FA2AFA" w:rsidRPr="00ED25BB" w:rsidRDefault="00FA2AFA" w:rsidP="00FA2AFA">
      <w:pPr>
        <w:spacing w:after="0" w:line="360" w:lineRule="auto"/>
        <w:ind w:left="284" w:firstLine="709"/>
        <w:jc w:val="both"/>
        <w:rPr>
          <w:color w:val="0F243E"/>
        </w:rPr>
      </w:pPr>
    </w:p>
    <w:p w:rsidR="00CC73FE" w:rsidRPr="00ED25BB" w:rsidRDefault="00CC73FE" w:rsidP="00CC73FE">
      <w:pPr>
        <w:spacing w:after="0" w:line="360" w:lineRule="auto"/>
        <w:ind w:left="284" w:firstLine="709"/>
        <w:jc w:val="both"/>
        <w:rPr>
          <w:color w:val="0F243E"/>
        </w:rPr>
      </w:pPr>
    </w:p>
    <w:sectPr w:rsidR="00CC73FE" w:rsidRPr="00ED25BB" w:rsidSect="004F1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04B" w:rsidRDefault="009E104B" w:rsidP="008B3F94">
      <w:pPr>
        <w:spacing w:after="0" w:line="240" w:lineRule="auto"/>
      </w:pPr>
      <w:r>
        <w:separator/>
      </w:r>
    </w:p>
  </w:endnote>
  <w:endnote w:type="continuationSeparator" w:id="0">
    <w:p w:rsidR="009E104B" w:rsidRDefault="009E104B" w:rsidP="008B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C9" w:rsidRDefault="000D7C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A5" w:rsidRDefault="009E104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CC9">
      <w:rPr>
        <w:noProof/>
      </w:rPr>
      <w:t>2</w:t>
    </w:r>
    <w:r>
      <w:rPr>
        <w:noProof/>
      </w:rPr>
      <w:fldChar w:fldCharType="end"/>
    </w:r>
  </w:p>
  <w:p w:rsidR="006E1EA5" w:rsidRDefault="006E1E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C9" w:rsidRDefault="000D7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04B" w:rsidRDefault="009E104B" w:rsidP="008B3F94">
      <w:pPr>
        <w:spacing w:after="0" w:line="240" w:lineRule="auto"/>
      </w:pPr>
      <w:r>
        <w:separator/>
      </w:r>
    </w:p>
  </w:footnote>
  <w:footnote w:type="continuationSeparator" w:id="0">
    <w:p w:rsidR="009E104B" w:rsidRDefault="009E104B" w:rsidP="008B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C9" w:rsidRDefault="000D7C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C9" w:rsidRPr="000D7CC9" w:rsidRDefault="000D7CC9" w:rsidP="000D7CC9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0D7CC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D7CC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CC9" w:rsidRDefault="000D7C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325"/>
    <w:multiLevelType w:val="hybridMultilevel"/>
    <w:tmpl w:val="E37E06AA"/>
    <w:lvl w:ilvl="0" w:tplc="CF2ECAE8">
      <w:start w:val="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0AF52DF"/>
    <w:multiLevelType w:val="hybridMultilevel"/>
    <w:tmpl w:val="DD964446"/>
    <w:lvl w:ilvl="0" w:tplc="0422000F">
      <w:start w:val="1"/>
      <w:numFmt w:val="decimal"/>
      <w:lvlText w:val="%1."/>
      <w:lvlJc w:val="left"/>
      <w:pPr>
        <w:ind w:left="1713" w:hanging="360"/>
      </w:pPr>
    </w:lvl>
    <w:lvl w:ilvl="1" w:tplc="04220019" w:tentative="1">
      <w:start w:val="1"/>
      <w:numFmt w:val="lowerLetter"/>
      <w:lvlText w:val="%2."/>
      <w:lvlJc w:val="left"/>
      <w:pPr>
        <w:ind w:left="2433" w:hanging="360"/>
      </w:pPr>
    </w:lvl>
    <w:lvl w:ilvl="2" w:tplc="0422001B" w:tentative="1">
      <w:start w:val="1"/>
      <w:numFmt w:val="lowerRoman"/>
      <w:lvlText w:val="%3."/>
      <w:lvlJc w:val="right"/>
      <w:pPr>
        <w:ind w:left="3153" w:hanging="180"/>
      </w:pPr>
    </w:lvl>
    <w:lvl w:ilvl="3" w:tplc="0422000F" w:tentative="1">
      <w:start w:val="1"/>
      <w:numFmt w:val="decimal"/>
      <w:lvlText w:val="%4."/>
      <w:lvlJc w:val="left"/>
      <w:pPr>
        <w:ind w:left="3873" w:hanging="360"/>
      </w:pPr>
    </w:lvl>
    <w:lvl w:ilvl="4" w:tplc="04220019" w:tentative="1">
      <w:start w:val="1"/>
      <w:numFmt w:val="lowerLetter"/>
      <w:lvlText w:val="%5."/>
      <w:lvlJc w:val="left"/>
      <w:pPr>
        <w:ind w:left="4593" w:hanging="360"/>
      </w:pPr>
    </w:lvl>
    <w:lvl w:ilvl="5" w:tplc="0422001B" w:tentative="1">
      <w:start w:val="1"/>
      <w:numFmt w:val="lowerRoman"/>
      <w:lvlText w:val="%6."/>
      <w:lvlJc w:val="right"/>
      <w:pPr>
        <w:ind w:left="5313" w:hanging="180"/>
      </w:pPr>
    </w:lvl>
    <w:lvl w:ilvl="6" w:tplc="0422000F" w:tentative="1">
      <w:start w:val="1"/>
      <w:numFmt w:val="decimal"/>
      <w:lvlText w:val="%7."/>
      <w:lvlJc w:val="left"/>
      <w:pPr>
        <w:ind w:left="6033" w:hanging="360"/>
      </w:pPr>
    </w:lvl>
    <w:lvl w:ilvl="7" w:tplc="04220019" w:tentative="1">
      <w:start w:val="1"/>
      <w:numFmt w:val="lowerLetter"/>
      <w:lvlText w:val="%8."/>
      <w:lvlJc w:val="left"/>
      <w:pPr>
        <w:ind w:left="6753" w:hanging="360"/>
      </w:pPr>
    </w:lvl>
    <w:lvl w:ilvl="8" w:tplc="042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C39"/>
    <w:rsid w:val="00007A84"/>
    <w:rsid w:val="000118F5"/>
    <w:rsid w:val="000133B7"/>
    <w:rsid w:val="000165BC"/>
    <w:rsid w:val="00023D4F"/>
    <w:rsid w:val="00033CFD"/>
    <w:rsid w:val="00037617"/>
    <w:rsid w:val="00041303"/>
    <w:rsid w:val="00050677"/>
    <w:rsid w:val="00057172"/>
    <w:rsid w:val="000673A4"/>
    <w:rsid w:val="000674A3"/>
    <w:rsid w:val="00067EC5"/>
    <w:rsid w:val="00070F2D"/>
    <w:rsid w:val="00076C7C"/>
    <w:rsid w:val="000844FC"/>
    <w:rsid w:val="000855DF"/>
    <w:rsid w:val="00095A73"/>
    <w:rsid w:val="000A225D"/>
    <w:rsid w:val="000C0CDD"/>
    <w:rsid w:val="000D3BBD"/>
    <w:rsid w:val="000D43AB"/>
    <w:rsid w:val="000D7CC9"/>
    <w:rsid w:val="000F7621"/>
    <w:rsid w:val="0010510D"/>
    <w:rsid w:val="001054A3"/>
    <w:rsid w:val="00107CFB"/>
    <w:rsid w:val="00112FE0"/>
    <w:rsid w:val="00117D5A"/>
    <w:rsid w:val="00122BAB"/>
    <w:rsid w:val="00124F09"/>
    <w:rsid w:val="001260F1"/>
    <w:rsid w:val="00126BDC"/>
    <w:rsid w:val="00130A56"/>
    <w:rsid w:val="001351CB"/>
    <w:rsid w:val="00144004"/>
    <w:rsid w:val="00146093"/>
    <w:rsid w:val="00146148"/>
    <w:rsid w:val="00150149"/>
    <w:rsid w:val="0015239D"/>
    <w:rsid w:val="00163129"/>
    <w:rsid w:val="00163EEF"/>
    <w:rsid w:val="0016473F"/>
    <w:rsid w:val="00165531"/>
    <w:rsid w:val="001715BE"/>
    <w:rsid w:val="00174B5D"/>
    <w:rsid w:val="00186CEA"/>
    <w:rsid w:val="00191E39"/>
    <w:rsid w:val="001962CD"/>
    <w:rsid w:val="001A09AD"/>
    <w:rsid w:val="001B3B14"/>
    <w:rsid w:val="001B4120"/>
    <w:rsid w:val="001C3E3C"/>
    <w:rsid w:val="001E2E64"/>
    <w:rsid w:val="001E424F"/>
    <w:rsid w:val="001E65AE"/>
    <w:rsid w:val="001F33BD"/>
    <w:rsid w:val="001F33F2"/>
    <w:rsid w:val="001F623E"/>
    <w:rsid w:val="002025C6"/>
    <w:rsid w:val="0021283F"/>
    <w:rsid w:val="00213517"/>
    <w:rsid w:val="0021574C"/>
    <w:rsid w:val="00222427"/>
    <w:rsid w:val="00227A2E"/>
    <w:rsid w:val="00241B84"/>
    <w:rsid w:val="00253744"/>
    <w:rsid w:val="00260749"/>
    <w:rsid w:val="00261744"/>
    <w:rsid w:val="00270732"/>
    <w:rsid w:val="00273BC2"/>
    <w:rsid w:val="002768B3"/>
    <w:rsid w:val="00277E43"/>
    <w:rsid w:val="0028329F"/>
    <w:rsid w:val="002847EB"/>
    <w:rsid w:val="00285479"/>
    <w:rsid w:val="00285FA1"/>
    <w:rsid w:val="002861A7"/>
    <w:rsid w:val="00287109"/>
    <w:rsid w:val="00290D48"/>
    <w:rsid w:val="0029159F"/>
    <w:rsid w:val="00293B6C"/>
    <w:rsid w:val="00296D2D"/>
    <w:rsid w:val="0029706F"/>
    <w:rsid w:val="002A04E4"/>
    <w:rsid w:val="002B4762"/>
    <w:rsid w:val="002B5886"/>
    <w:rsid w:val="002C70D0"/>
    <w:rsid w:val="002D69EB"/>
    <w:rsid w:val="002E60BF"/>
    <w:rsid w:val="002F05FE"/>
    <w:rsid w:val="002F23DB"/>
    <w:rsid w:val="002F689C"/>
    <w:rsid w:val="002F79C9"/>
    <w:rsid w:val="00315A98"/>
    <w:rsid w:val="0031631A"/>
    <w:rsid w:val="00320959"/>
    <w:rsid w:val="00331038"/>
    <w:rsid w:val="00336E9D"/>
    <w:rsid w:val="00340F62"/>
    <w:rsid w:val="00366766"/>
    <w:rsid w:val="00371606"/>
    <w:rsid w:val="00382B5C"/>
    <w:rsid w:val="00383DB2"/>
    <w:rsid w:val="00391AC2"/>
    <w:rsid w:val="003922C0"/>
    <w:rsid w:val="003955C1"/>
    <w:rsid w:val="003A051E"/>
    <w:rsid w:val="003A6E37"/>
    <w:rsid w:val="003B1C49"/>
    <w:rsid w:val="003C4768"/>
    <w:rsid w:val="003D405F"/>
    <w:rsid w:val="003D7A91"/>
    <w:rsid w:val="003F58D6"/>
    <w:rsid w:val="00401FE6"/>
    <w:rsid w:val="00404275"/>
    <w:rsid w:val="00410D44"/>
    <w:rsid w:val="00412437"/>
    <w:rsid w:val="00423C55"/>
    <w:rsid w:val="004277EF"/>
    <w:rsid w:val="004307D2"/>
    <w:rsid w:val="00432AC8"/>
    <w:rsid w:val="004423A9"/>
    <w:rsid w:val="0045061B"/>
    <w:rsid w:val="00453D41"/>
    <w:rsid w:val="004644BB"/>
    <w:rsid w:val="00472F76"/>
    <w:rsid w:val="00474ABF"/>
    <w:rsid w:val="004751FE"/>
    <w:rsid w:val="00481340"/>
    <w:rsid w:val="00482E7B"/>
    <w:rsid w:val="004876A7"/>
    <w:rsid w:val="00495829"/>
    <w:rsid w:val="00496F14"/>
    <w:rsid w:val="004A0D04"/>
    <w:rsid w:val="004C0642"/>
    <w:rsid w:val="004C5A69"/>
    <w:rsid w:val="004D2AEE"/>
    <w:rsid w:val="004D2AF1"/>
    <w:rsid w:val="004D2DCF"/>
    <w:rsid w:val="004E466D"/>
    <w:rsid w:val="004F069B"/>
    <w:rsid w:val="004F126A"/>
    <w:rsid w:val="005035A7"/>
    <w:rsid w:val="005321A7"/>
    <w:rsid w:val="00537476"/>
    <w:rsid w:val="00541411"/>
    <w:rsid w:val="00544DB4"/>
    <w:rsid w:val="00553CC0"/>
    <w:rsid w:val="005570DA"/>
    <w:rsid w:val="00557E6D"/>
    <w:rsid w:val="00565A88"/>
    <w:rsid w:val="00571E8F"/>
    <w:rsid w:val="0057591D"/>
    <w:rsid w:val="0058585E"/>
    <w:rsid w:val="00590291"/>
    <w:rsid w:val="005A0BE4"/>
    <w:rsid w:val="005A4E28"/>
    <w:rsid w:val="005B4368"/>
    <w:rsid w:val="005C1FB7"/>
    <w:rsid w:val="005C2318"/>
    <w:rsid w:val="005D10BF"/>
    <w:rsid w:val="005D1B77"/>
    <w:rsid w:val="005D3984"/>
    <w:rsid w:val="005D48A3"/>
    <w:rsid w:val="005E2477"/>
    <w:rsid w:val="005E5D0F"/>
    <w:rsid w:val="005E6AF8"/>
    <w:rsid w:val="005F42CC"/>
    <w:rsid w:val="005F60BA"/>
    <w:rsid w:val="005F685E"/>
    <w:rsid w:val="00601C27"/>
    <w:rsid w:val="00601F8E"/>
    <w:rsid w:val="0060271C"/>
    <w:rsid w:val="00603431"/>
    <w:rsid w:val="006064AD"/>
    <w:rsid w:val="0061657D"/>
    <w:rsid w:val="006178B8"/>
    <w:rsid w:val="00636BE8"/>
    <w:rsid w:val="00637FEF"/>
    <w:rsid w:val="00640535"/>
    <w:rsid w:val="006539F0"/>
    <w:rsid w:val="00654853"/>
    <w:rsid w:val="00655B41"/>
    <w:rsid w:val="00657D9B"/>
    <w:rsid w:val="00662DED"/>
    <w:rsid w:val="006645DA"/>
    <w:rsid w:val="006847D3"/>
    <w:rsid w:val="006A122A"/>
    <w:rsid w:val="006A218B"/>
    <w:rsid w:val="006A6B2B"/>
    <w:rsid w:val="006B2013"/>
    <w:rsid w:val="006B28F2"/>
    <w:rsid w:val="006B3050"/>
    <w:rsid w:val="006B3722"/>
    <w:rsid w:val="006B3904"/>
    <w:rsid w:val="006B68B5"/>
    <w:rsid w:val="006C0267"/>
    <w:rsid w:val="006C1039"/>
    <w:rsid w:val="006C7989"/>
    <w:rsid w:val="006E1EA5"/>
    <w:rsid w:val="006E337C"/>
    <w:rsid w:val="006F553C"/>
    <w:rsid w:val="006F5C7E"/>
    <w:rsid w:val="007060E3"/>
    <w:rsid w:val="0071095A"/>
    <w:rsid w:val="00711D8E"/>
    <w:rsid w:val="007126A3"/>
    <w:rsid w:val="00712F36"/>
    <w:rsid w:val="0071750A"/>
    <w:rsid w:val="00733B9D"/>
    <w:rsid w:val="007352CB"/>
    <w:rsid w:val="00750545"/>
    <w:rsid w:val="00755804"/>
    <w:rsid w:val="00756DB5"/>
    <w:rsid w:val="00756DDD"/>
    <w:rsid w:val="00757B0B"/>
    <w:rsid w:val="00757FC7"/>
    <w:rsid w:val="00794098"/>
    <w:rsid w:val="007A1667"/>
    <w:rsid w:val="007A23E5"/>
    <w:rsid w:val="007A5AD6"/>
    <w:rsid w:val="007B412F"/>
    <w:rsid w:val="007C78A7"/>
    <w:rsid w:val="007D2CC3"/>
    <w:rsid w:val="007D4932"/>
    <w:rsid w:val="007D6322"/>
    <w:rsid w:val="007D7828"/>
    <w:rsid w:val="007E3953"/>
    <w:rsid w:val="007F0425"/>
    <w:rsid w:val="007F2E8E"/>
    <w:rsid w:val="007F7D88"/>
    <w:rsid w:val="00805257"/>
    <w:rsid w:val="0081384D"/>
    <w:rsid w:val="0081435A"/>
    <w:rsid w:val="00821344"/>
    <w:rsid w:val="0082134B"/>
    <w:rsid w:val="008448BD"/>
    <w:rsid w:val="008510B9"/>
    <w:rsid w:val="00852032"/>
    <w:rsid w:val="00861888"/>
    <w:rsid w:val="008718E8"/>
    <w:rsid w:val="0087371E"/>
    <w:rsid w:val="0088006F"/>
    <w:rsid w:val="008870D0"/>
    <w:rsid w:val="0089046E"/>
    <w:rsid w:val="008927F9"/>
    <w:rsid w:val="008A032E"/>
    <w:rsid w:val="008A2EC6"/>
    <w:rsid w:val="008A5033"/>
    <w:rsid w:val="008B3F94"/>
    <w:rsid w:val="008B4D7F"/>
    <w:rsid w:val="008C401D"/>
    <w:rsid w:val="008C52BC"/>
    <w:rsid w:val="008D3473"/>
    <w:rsid w:val="008D5411"/>
    <w:rsid w:val="008E4BE5"/>
    <w:rsid w:val="008F60A9"/>
    <w:rsid w:val="008F6876"/>
    <w:rsid w:val="00902F77"/>
    <w:rsid w:val="00903ACC"/>
    <w:rsid w:val="0090552D"/>
    <w:rsid w:val="009056C8"/>
    <w:rsid w:val="0091532A"/>
    <w:rsid w:val="009221FF"/>
    <w:rsid w:val="009225FE"/>
    <w:rsid w:val="00936512"/>
    <w:rsid w:val="009412BE"/>
    <w:rsid w:val="00957281"/>
    <w:rsid w:val="0095788D"/>
    <w:rsid w:val="009600A5"/>
    <w:rsid w:val="00967243"/>
    <w:rsid w:val="009716F4"/>
    <w:rsid w:val="009756D0"/>
    <w:rsid w:val="00987FF6"/>
    <w:rsid w:val="0099709F"/>
    <w:rsid w:val="009A6197"/>
    <w:rsid w:val="009A62C7"/>
    <w:rsid w:val="009C41AE"/>
    <w:rsid w:val="009D3251"/>
    <w:rsid w:val="009E104B"/>
    <w:rsid w:val="009E4244"/>
    <w:rsid w:val="009E43BD"/>
    <w:rsid w:val="009E6791"/>
    <w:rsid w:val="009F13A1"/>
    <w:rsid w:val="009F3C05"/>
    <w:rsid w:val="009F5072"/>
    <w:rsid w:val="00A0524A"/>
    <w:rsid w:val="00A054D5"/>
    <w:rsid w:val="00A159C1"/>
    <w:rsid w:val="00A17069"/>
    <w:rsid w:val="00A51DCE"/>
    <w:rsid w:val="00A5265F"/>
    <w:rsid w:val="00A530C6"/>
    <w:rsid w:val="00A53228"/>
    <w:rsid w:val="00A64741"/>
    <w:rsid w:val="00A67648"/>
    <w:rsid w:val="00A72A7A"/>
    <w:rsid w:val="00A73C60"/>
    <w:rsid w:val="00A77778"/>
    <w:rsid w:val="00A824BF"/>
    <w:rsid w:val="00A82D7F"/>
    <w:rsid w:val="00A83570"/>
    <w:rsid w:val="00A87B72"/>
    <w:rsid w:val="00AA162C"/>
    <w:rsid w:val="00AC3CDF"/>
    <w:rsid w:val="00AD7326"/>
    <w:rsid w:val="00AE0015"/>
    <w:rsid w:val="00AF42B9"/>
    <w:rsid w:val="00AF5EE5"/>
    <w:rsid w:val="00B000EC"/>
    <w:rsid w:val="00B0057E"/>
    <w:rsid w:val="00B0530A"/>
    <w:rsid w:val="00B15BB9"/>
    <w:rsid w:val="00B172B4"/>
    <w:rsid w:val="00B26C9C"/>
    <w:rsid w:val="00B342CC"/>
    <w:rsid w:val="00B57B3F"/>
    <w:rsid w:val="00B62EB1"/>
    <w:rsid w:val="00B63392"/>
    <w:rsid w:val="00B72C36"/>
    <w:rsid w:val="00B77655"/>
    <w:rsid w:val="00B83595"/>
    <w:rsid w:val="00B83DF8"/>
    <w:rsid w:val="00B86155"/>
    <w:rsid w:val="00B94A15"/>
    <w:rsid w:val="00B96ED7"/>
    <w:rsid w:val="00B978A6"/>
    <w:rsid w:val="00BA5317"/>
    <w:rsid w:val="00BA6E96"/>
    <w:rsid w:val="00BB5CE6"/>
    <w:rsid w:val="00BC47EE"/>
    <w:rsid w:val="00BD230D"/>
    <w:rsid w:val="00BD5B0B"/>
    <w:rsid w:val="00BE3AAE"/>
    <w:rsid w:val="00C055A1"/>
    <w:rsid w:val="00C05961"/>
    <w:rsid w:val="00C10259"/>
    <w:rsid w:val="00C15D19"/>
    <w:rsid w:val="00C31BA7"/>
    <w:rsid w:val="00C41A7A"/>
    <w:rsid w:val="00C4779A"/>
    <w:rsid w:val="00C50554"/>
    <w:rsid w:val="00C522C7"/>
    <w:rsid w:val="00C62207"/>
    <w:rsid w:val="00C66899"/>
    <w:rsid w:val="00C72BC2"/>
    <w:rsid w:val="00C84AA2"/>
    <w:rsid w:val="00C862BE"/>
    <w:rsid w:val="00C871A2"/>
    <w:rsid w:val="00C93357"/>
    <w:rsid w:val="00C95B8C"/>
    <w:rsid w:val="00CA12FA"/>
    <w:rsid w:val="00CA2955"/>
    <w:rsid w:val="00CA3F0D"/>
    <w:rsid w:val="00CB0317"/>
    <w:rsid w:val="00CB6F22"/>
    <w:rsid w:val="00CC272A"/>
    <w:rsid w:val="00CC3CC1"/>
    <w:rsid w:val="00CC47F1"/>
    <w:rsid w:val="00CC73FE"/>
    <w:rsid w:val="00CD399B"/>
    <w:rsid w:val="00CD68EF"/>
    <w:rsid w:val="00CE13AE"/>
    <w:rsid w:val="00CE3005"/>
    <w:rsid w:val="00CE4BE3"/>
    <w:rsid w:val="00CE6BDA"/>
    <w:rsid w:val="00CE76C1"/>
    <w:rsid w:val="00CF1B10"/>
    <w:rsid w:val="00D02127"/>
    <w:rsid w:val="00D039CC"/>
    <w:rsid w:val="00D06A45"/>
    <w:rsid w:val="00D34FFA"/>
    <w:rsid w:val="00D353DF"/>
    <w:rsid w:val="00D405DE"/>
    <w:rsid w:val="00D44E8A"/>
    <w:rsid w:val="00D45232"/>
    <w:rsid w:val="00D5520A"/>
    <w:rsid w:val="00D55EE7"/>
    <w:rsid w:val="00D606BC"/>
    <w:rsid w:val="00D64270"/>
    <w:rsid w:val="00D65C0E"/>
    <w:rsid w:val="00D71CDF"/>
    <w:rsid w:val="00D83A69"/>
    <w:rsid w:val="00D90966"/>
    <w:rsid w:val="00D91678"/>
    <w:rsid w:val="00D94D7E"/>
    <w:rsid w:val="00D95CA1"/>
    <w:rsid w:val="00DB4295"/>
    <w:rsid w:val="00DC128D"/>
    <w:rsid w:val="00DE6AC3"/>
    <w:rsid w:val="00DF228E"/>
    <w:rsid w:val="00DF3637"/>
    <w:rsid w:val="00DF587F"/>
    <w:rsid w:val="00E0140E"/>
    <w:rsid w:val="00E032D2"/>
    <w:rsid w:val="00E05E60"/>
    <w:rsid w:val="00E1316F"/>
    <w:rsid w:val="00E15AB2"/>
    <w:rsid w:val="00E45190"/>
    <w:rsid w:val="00E5002F"/>
    <w:rsid w:val="00E6055A"/>
    <w:rsid w:val="00E6637B"/>
    <w:rsid w:val="00E71D07"/>
    <w:rsid w:val="00E803B0"/>
    <w:rsid w:val="00E80DE3"/>
    <w:rsid w:val="00E90E14"/>
    <w:rsid w:val="00EA4011"/>
    <w:rsid w:val="00EB3C39"/>
    <w:rsid w:val="00EB4DB2"/>
    <w:rsid w:val="00EC6AC0"/>
    <w:rsid w:val="00ED25BB"/>
    <w:rsid w:val="00ED42C5"/>
    <w:rsid w:val="00ED582A"/>
    <w:rsid w:val="00EE5048"/>
    <w:rsid w:val="00EF0506"/>
    <w:rsid w:val="00EF09B7"/>
    <w:rsid w:val="00EF0EDA"/>
    <w:rsid w:val="00F060F9"/>
    <w:rsid w:val="00F07E09"/>
    <w:rsid w:val="00F11B1F"/>
    <w:rsid w:val="00F15D32"/>
    <w:rsid w:val="00F31967"/>
    <w:rsid w:val="00F512A7"/>
    <w:rsid w:val="00F620EE"/>
    <w:rsid w:val="00F647D5"/>
    <w:rsid w:val="00F649FC"/>
    <w:rsid w:val="00F75FFE"/>
    <w:rsid w:val="00F769D6"/>
    <w:rsid w:val="00F83523"/>
    <w:rsid w:val="00F868D8"/>
    <w:rsid w:val="00F86EB7"/>
    <w:rsid w:val="00F90E67"/>
    <w:rsid w:val="00F923BC"/>
    <w:rsid w:val="00F959CB"/>
    <w:rsid w:val="00F95ED5"/>
    <w:rsid w:val="00FA2AFA"/>
    <w:rsid w:val="00FA4E68"/>
    <w:rsid w:val="00FA7015"/>
    <w:rsid w:val="00FB2E6D"/>
    <w:rsid w:val="00FC381D"/>
    <w:rsid w:val="00FE6C32"/>
    <w:rsid w:val="00FE7061"/>
    <w:rsid w:val="00FF53CD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C39"/>
    <w:pPr>
      <w:ind w:left="720"/>
      <w:contextualSpacing/>
    </w:pPr>
  </w:style>
  <w:style w:type="table" w:styleId="a4">
    <w:name w:val="Table Grid"/>
    <w:basedOn w:val="a1"/>
    <w:uiPriority w:val="59"/>
    <w:rsid w:val="00EB3C3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EB3C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B3C39"/>
    <w:rPr>
      <w:rFonts w:eastAsia="Times New Roman"/>
      <w:lang w:eastAsia="uk-UA"/>
    </w:rPr>
  </w:style>
  <w:style w:type="character" w:styleId="a7">
    <w:name w:val="Hyperlink"/>
    <w:basedOn w:val="a0"/>
    <w:rsid w:val="00EB3C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B3C39"/>
    <w:rPr>
      <w:rFonts w:ascii="Tahoma" w:eastAsia="Times New Roman" w:hAnsi="Tahoma" w:cs="Tahoma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D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0D7CC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Велико Британія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20000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Іспанія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19000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Німечинна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2">
                  <c:v>18000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Фінляндія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3">
                  <c:v>16000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Франція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4">
                  <c:v>14000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Швеція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Лист1!$G$2:$G$16</c:f>
              <c:numCache>
                <c:formatCode>General</c:formatCode>
                <c:ptCount val="15"/>
                <c:pt idx="5">
                  <c:v>12000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Чехія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Лист1!$H$2:$H$16</c:f>
              <c:numCache>
                <c:formatCode>General</c:formatCode>
                <c:ptCount val="15"/>
                <c:pt idx="6">
                  <c:v>10000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Болгарія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Лист1!$I$2:$I$16</c:f>
              <c:numCache>
                <c:formatCode>General</c:formatCode>
                <c:ptCount val="15"/>
                <c:pt idx="7">
                  <c:v>8000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Латвія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Лист1!$J$2:$J$16</c:f>
              <c:numCache>
                <c:formatCode>General</c:formatCode>
                <c:ptCount val="15"/>
                <c:pt idx="8">
                  <c:v>4000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Україна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Лист1!$K$2:$K$16</c:f>
              <c:numCache>
                <c:formatCode>General</c:formatCode>
                <c:ptCount val="15"/>
                <c:pt idx="9">
                  <c:v>1500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Словачинна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Лист1!$L$2:$L$16</c:f>
              <c:numCache>
                <c:formatCode>General</c:formatCode>
                <c:ptCount val="15"/>
                <c:pt idx="10">
                  <c:v>1000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Польща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Лист1!$M$2:$M$16</c:f>
              <c:numCache>
                <c:formatCode>General</c:formatCode>
                <c:ptCount val="15"/>
                <c:pt idx="11">
                  <c:v>800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Росія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Лист1!$N$2:$N$16</c:f>
              <c:numCache>
                <c:formatCode>General</c:formatCode>
                <c:ptCount val="15"/>
                <c:pt idx="12">
                  <c:v>700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Молдова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Лист1!$O$2:$O$16</c:f>
              <c:numCache>
                <c:formatCode>General</c:formatCode>
                <c:ptCount val="15"/>
                <c:pt idx="13">
                  <c:v>500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Литва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Велика Британія</c:v>
                </c:pt>
                <c:pt idx="1">
                  <c:v>Іспанія</c:v>
                </c:pt>
                <c:pt idx="2">
                  <c:v>Німечинна</c:v>
                </c:pt>
                <c:pt idx="3">
                  <c:v>Фінляндія</c:v>
                </c:pt>
                <c:pt idx="4">
                  <c:v>Франція</c:v>
                </c:pt>
                <c:pt idx="5">
                  <c:v>Швеція</c:v>
                </c:pt>
                <c:pt idx="6">
                  <c:v>Чехія</c:v>
                </c:pt>
                <c:pt idx="7">
                  <c:v>Болгарія</c:v>
                </c:pt>
                <c:pt idx="8">
                  <c:v>Латвія</c:v>
                </c:pt>
                <c:pt idx="9">
                  <c:v>Україна</c:v>
                </c:pt>
                <c:pt idx="10">
                  <c:v>Слочинна</c:v>
                </c:pt>
                <c:pt idx="11">
                  <c:v>Польща</c:v>
                </c:pt>
                <c:pt idx="12">
                  <c:v>Росія</c:v>
                </c:pt>
                <c:pt idx="13">
                  <c:v>Молдова</c:v>
                </c:pt>
                <c:pt idx="14">
                  <c:v>Литва</c:v>
                </c:pt>
              </c:strCache>
            </c:strRef>
          </c:cat>
          <c:val>
            <c:numRef>
              <c:f>Лист1!$P$2:$P$16</c:f>
              <c:numCache>
                <c:formatCode>General</c:formatCode>
                <c:ptCount val="15"/>
                <c:pt idx="14">
                  <c:v>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116736"/>
        <c:axId val="142118272"/>
        <c:axId val="0"/>
      </c:bar3DChart>
      <c:catAx>
        <c:axId val="142116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2118272"/>
        <c:crosses val="autoZero"/>
        <c:auto val="1"/>
        <c:lblAlgn val="ctr"/>
        <c:lblOffset val="100"/>
        <c:noMultiLvlLbl val="0"/>
      </c:catAx>
      <c:valAx>
        <c:axId val="142118272"/>
        <c:scaling>
          <c:orientation val="minMax"/>
        </c:scaling>
        <c:delete val="0"/>
        <c:axPos val="b"/>
        <c:majorGridlines/>
        <c:minorGridlines/>
        <c:numFmt formatCode="General" sourceLinked="1"/>
        <c:majorTickMark val="out"/>
        <c:minorTickMark val="none"/>
        <c:tickLblPos val="nextTo"/>
        <c:crossAx val="1421167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Ukrlandfarming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NCH Capital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1">
                  <c:v>400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Українські аграрні інвестиції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2">
                  <c:v>300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"Миронівський хлобопродукт"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3">
                  <c:v>300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"Мрія"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Лист1!$F$2:$F$11</c:f>
              <c:numCache>
                <c:formatCode>General</c:formatCode>
                <c:ptCount val="10"/>
                <c:pt idx="4">
                  <c:v>240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"Астарта"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Лист1!$G$2:$G$11</c:f>
              <c:numCache>
                <c:formatCode>General</c:formatCode>
                <c:ptCount val="10"/>
                <c:pt idx="5">
                  <c:v>225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HarvEast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6">
                  <c:v>220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"Кернел"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Лист1!$I$2:$I$11</c:f>
              <c:numCache>
                <c:formatCode>General</c:formatCode>
                <c:ptCount val="10"/>
                <c:pt idx="7">
                  <c:v>180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Sintal Agriculture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Лист1!$J$2:$J$11</c:f>
              <c:numCache>
                <c:formatCode>General</c:formatCode>
                <c:ptCount val="10"/>
                <c:pt idx="8">
                  <c:v>150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"Приват-агрохолдинг"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</c:numCache>
            </c:numRef>
          </c:cat>
          <c:val>
            <c:numRef>
              <c:f>Лист1!$K$2:$K$11</c:f>
              <c:numCache>
                <c:formatCode>General</c:formatCode>
                <c:ptCount val="10"/>
                <c:pt idx="9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2171136"/>
        <c:axId val="142185216"/>
      </c:barChart>
      <c:catAx>
        <c:axId val="14217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185216"/>
        <c:crosses val="autoZero"/>
        <c:auto val="1"/>
        <c:lblAlgn val="ctr"/>
        <c:lblOffset val="100"/>
        <c:noMultiLvlLbl val="0"/>
      </c:catAx>
      <c:valAx>
        <c:axId val="142185216"/>
        <c:scaling>
          <c:orientation val="minMax"/>
        </c:scaling>
        <c:delete val="0"/>
        <c:axPos val="l"/>
        <c:majorGridlines/>
        <c:minorGridlines/>
        <c:numFmt formatCode="General" sourceLinked="1"/>
        <c:majorTickMark val="out"/>
        <c:minorTickMark val="none"/>
        <c:tickLblPos val="nextTo"/>
        <c:crossAx val="14217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0.11053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505450" cy="36427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2.86068E-7</cdr:y>
    </cdr:from>
    <cdr:to>
      <cdr:x>1</cdr:x>
      <cdr:y>0.05935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"/>
          <a:ext cx="5505450" cy="20745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1966</Words>
  <Characters>11443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Лешкин</dc:creator>
  <cp:keywords/>
  <cp:lastModifiedBy>Ivan</cp:lastModifiedBy>
  <cp:revision>4</cp:revision>
  <cp:lastPrinted>2012-03-12T22:32:00Z</cp:lastPrinted>
  <dcterms:created xsi:type="dcterms:W3CDTF">2012-03-14T01:20:00Z</dcterms:created>
  <dcterms:modified xsi:type="dcterms:W3CDTF">2013-02-06T22:11:00Z</dcterms:modified>
</cp:coreProperties>
</file>