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42" w:rsidRDefault="00E75042" w:rsidP="00E750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Екологічний аналіз</w:t>
      </w:r>
    </w:p>
    <w:p w:rsidR="00BF5A55" w:rsidRPr="00BF5A55" w:rsidRDefault="00BF5A55" w:rsidP="00BF5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55">
        <w:rPr>
          <w:rFonts w:ascii="Times New Roman" w:hAnsi="Times New Roman" w:cs="Times New Roman"/>
          <w:sz w:val="24"/>
          <w:szCs w:val="24"/>
        </w:rPr>
        <w:t>В умовах посилювання конкуренції кардинально змінилося відношення до екології бізнесу,  яка стала грати ключову роль в реалізації екологічної політики,  оскільки через її практичну діяльність в першу чергу і реалізуються взаємовідношення</w:t>
      </w:r>
      <w:r>
        <w:rPr>
          <w:rFonts w:ascii="Times New Roman" w:hAnsi="Times New Roman" w:cs="Times New Roman"/>
          <w:sz w:val="24"/>
          <w:szCs w:val="24"/>
        </w:rPr>
        <w:t xml:space="preserve"> людей і природного середовища. </w:t>
      </w:r>
      <w:r w:rsidRPr="00BF5A55">
        <w:rPr>
          <w:rFonts w:ascii="Times New Roman" w:hAnsi="Times New Roman" w:cs="Times New Roman"/>
          <w:sz w:val="24"/>
          <w:szCs w:val="24"/>
        </w:rPr>
        <w:t>Екологічний аналіз став важливим інструментом оцінки екологічної стійкості підприємств, бо за його допомогою можливо приймати оптимальні управлінські рішення в сфері природокористування та охорони навколишнього середовища,  що підкрес</w:t>
      </w:r>
      <w:r>
        <w:rPr>
          <w:rFonts w:ascii="Times New Roman" w:hAnsi="Times New Roman" w:cs="Times New Roman"/>
          <w:sz w:val="24"/>
          <w:szCs w:val="24"/>
        </w:rPr>
        <w:t xml:space="preserve">люється в працях. </w:t>
      </w:r>
      <w:r w:rsidRPr="00BF5A55">
        <w:rPr>
          <w:rFonts w:ascii="Times New Roman" w:hAnsi="Times New Roman" w:cs="Times New Roman"/>
          <w:sz w:val="24"/>
          <w:szCs w:val="24"/>
        </w:rPr>
        <w:t>Екологічний аналіз діяльності підприємств консервної промисловості містить оцінку водокористування і водовідведення,  плату за викиди в атмосферу від пересувних і стаціонарних джерел,  а також за забруднення довкілля відходами. Саме екологічні платежі можуть бути єдиним проявом  „екологічних”  витрат.  Екологічний аналіз ґрунтується на системі показників та інформації,  необхідних для прийняття оптимальних управлінських рішень у сфері раціоналізації природо- користування й охорони навколишнього середовища.  Проаналізуємо дані щодо утворення,  використання та поставки вторинної сировини і відходів виробництва згідно звіту про утворення, оброблення та утилізацію відходів  (форма №14-мтп)  підп</w:t>
      </w:r>
      <w:r>
        <w:rPr>
          <w:rFonts w:ascii="Times New Roman" w:hAnsi="Times New Roman" w:cs="Times New Roman"/>
          <w:sz w:val="24"/>
          <w:szCs w:val="24"/>
        </w:rPr>
        <w:t>риємств консервної промисловості</w:t>
      </w:r>
      <w:r w:rsidRPr="00BF5A5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Нижче </w:t>
      </w:r>
      <w:r w:rsidRPr="00BF5A55">
        <w:rPr>
          <w:rFonts w:ascii="Times New Roman" w:hAnsi="Times New Roman" w:cs="Times New Roman"/>
          <w:sz w:val="24"/>
          <w:szCs w:val="24"/>
        </w:rPr>
        <w:t>наведені дані щодо вторинної сировини та відходів виробництва по підприє</w:t>
      </w:r>
      <w:r>
        <w:rPr>
          <w:rFonts w:ascii="Times New Roman" w:hAnsi="Times New Roman" w:cs="Times New Roman"/>
          <w:sz w:val="24"/>
          <w:szCs w:val="24"/>
        </w:rPr>
        <w:t>мствам консервної промисловості.</w:t>
      </w:r>
    </w:p>
    <w:p w:rsidR="00BF5A55" w:rsidRDefault="00BF5A55" w:rsidP="00BF5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55">
        <w:rPr>
          <w:rFonts w:ascii="Times New Roman" w:hAnsi="Times New Roman" w:cs="Times New Roman"/>
          <w:sz w:val="24"/>
          <w:szCs w:val="24"/>
        </w:rPr>
        <w:t>Утворення, використання та поставки вторинної сировини і відходів  виробництв</w:t>
      </w:r>
    </w:p>
    <w:p w:rsidR="00BF5A55" w:rsidRDefault="00BF5A55" w:rsidP="00BF5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Відходи паперу та </w:t>
      </w:r>
      <w:r w:rsidRPr="00BF5A55">
        <w:rPr>
          <w:rFonts w:ascii="Times New Roman" w:hAnsi="Times New Roman" w:cs="Times New Roman"/>
          <w:sz w:val="24"/>
          <w:szCs w:val="24"/>
        </w:rPr>
        <w:t>картону, 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5A55">
        <w:rPr>
          <w:rFonts w:ascii="Times New Roman" w:hAnsi="Times New Roman" w:cs="Times New Roman"/>
          <w:sz w:val="24"/>
          <w:szCs w:val="24"/>
        </w:rPr>
        <w:t>21,0</w:t>
      </w:r>
    </w:p>
    <w:p w:rsidR="00BF5A55" w:rsidRDefault="00BF5A55" w:rsidP="00BF5A55">
      <w:pPr>
        <w:jc w:val="both"/>
        <w:rPr>
          <w:rFonts w:ascii="Times New Roman" w:hAnsi="Times New Roman" w:cs="Times New Roman"/>
          <w:sz w:val="24"/>
          <w:szCs w:val="24"/>
        </w:rPr>
      </w:pPr>
      <w:r w:rsidRPr="00BF5A55">
        <w:rPr>
          <w:rFonts w:ascii="Times New Roman" w:hAnsi="Times New Roman" w:cs="Times New Roman"/>
          <w:sz w:val="24"/>
          <w:szCs w:val="24"/>
        </w:rPr>
        <w:t>Сировина полімерна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A55">
        <w:rPr>
          <w:rFonts w:ascii="Times New Roman" w:hAnsi="Times New Roman" w:cs="Times New Roman"/>
          <w:sz w:val="24"/>
          <w:szCs w:val="24"/>
        </w:rPr>
        <w:t>вторинна,</w:t>
      </w:r>
      <w:r>
        <w:rPr>
          <w:rFonts w:ascii="Times New Roman" w:hAnsi="Times New Roman" w:cs="Times New Roman"/>
          <w:sz w:val="24"/>
          <w:szCs w:val="24"/>
        </w:rPr>
        <w:t xml:space="preserve"> т - </w:t>
      </w:r>
      <w:r w:rsidRPr="00BF5A55">
        <w:rPr>
          <w:rFonts w:ascii="Times New Roman" w:hAnsi="Times New Roman" w:cs="Times New Roman"/>
          <w:sz w:val="24"/>
          <w:szCs w:val="24"/>
        </w:rPr>
        <w:t>70,0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Склобій покупний,</w:t>
      </w:r>
      <w:r>
        <w:rPr>
          <w:rFonts w:ascii="Times New Roman" w:hAnsi="Times New Roman" w:cs="Times New Roman"/>
          <w:sz w:val="24"/>
          <w:szCs w:val="24"/>
        </w:rPr>
        <w:t xml:space="preserve"> т - </w:t>
      </w:r>
      <w:r w:rsidRPr="008B6E96">
        <w:rPr>
          <w:rFonts w:ascii="Times New Roman" w:hAnsi="Times New Roman" w:cs="Times New Roman"/>
          <w:sz w:val="24"/>
          <w:szCs w:val="24"/>
        </w:rPr>
        <w:t>92,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B6E96" w:rsidRP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Відходи тверді </w:t>
      </w:r>
      <w:r w:rsidRPr="008B6E96">
        <w:rPr>
          <w:rFonts w:ascii="Times New Roman" w:hAnsi="Times New Roman" w:cs="Times New Roman"/>
          <w:sz w:val="24"/>
          <w:szCs w:val="24"/>
        </w:rPr>
        <w:t>побудові, 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6E96">
        <w:rPr>
          <w:rFonts w:ascii="Times New Roman" w:hAnsi="Times New Roman" w:cs="Times New Roman"/>
          <w:sz w:val="24"/>
          <w:szCs w:val="24"/>
        </w:rPr>
        <w:t>2801,0</w:t>
      </w:r>
    </w:p>
    <w:p w:rsidR="008B6E96" w:rsidRP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Відходи деревини, м3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6E96">
        <w:rPr>
          <w:rFonts w:ascii="Times New Roman" w:hAnsi="Times New Roman" w:cs="Times New Roman"/>
          <w:sz w:val="24"/>
          <w:szCs w:val="24"/>
        </w:rPr>
        <w:t>133,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Відходи тирсу, м3</w:t>
      </w:r>
      <w:r>
        <w:rPr>
          <w:rFonts w:ascii="Times New Roman" w:hAnsi="Times New Roman" w:cs="Times New Roman"/>
          <w:sz w:val="24"/>
          <w:szCs w:val="24"/>
        </w:rPr>
        <w:t xml:space="preserve"> - -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Шини зношенні, 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6E96">
        <w:rPr>
          <w:rFonts w:ascii="Times New Roman" w:hAnsi="Times New Roman" w:cs="Times New Roman"/>
          <w:sz w:val="24"/>
          <w:szCs w:val="24"/>
        </w:rPr>
        <w:t xml:space="preserve"> 4,0</w:t>
      </w:r>
    </w:p>
    <w:p w:rsidR="008B6E96" w:rsidRP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Будівельні відходи,  м3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6E96">
        <w:rPr>
          <w:rFonts w:ascii="Times New Roman" w:hAnsi="Times New Roman" w:cs="Times New Roman"/>
          <w:sz w:val="24"/>
          <w:szCs w:val="24"/>
        </w:rPr>
        <w:t xml:space="preserve"> 85,0</w:t>
      </w:r>
    </w:p>
    <w:p w:rsidR="008B6E96" w:rsidRP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 xml:space="preserve">Мезга соняшникова, 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E96">
        <w:rPr>
          <w:rFonts w:ascii="Times New Roman" w:hAnsi="Times New Roman" w:cs="Times New Roman"/>
          <w:sz w:val="24"/>
          <w:szCs w:val="24"/>
        </w:rPr>
        <w:t>2467,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Відходи чорних металів,т</w:t>
      </w:r>
      <w:r>
        <w:rPr>
          <w:rFonts w:ascii="Times New Roman" w:hAnsi="Times New Roman" w:cs="Times New Roman"/>
          <w:sz w:val="24"/>
          <w:szCs w:val="24"/>
        </w:rPr>
        <w:t xml:space="preserve"> - -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Використано на паливні</w:t>
      </w:r>
      <w:r>
        <w:rPr>
          <w:rFonts w:ascii="Times New Roman" w:hAnsi="Times New Roman" w:cs="Times New Roman"/>
          <w:sz w:val="24"/>
          <w:szCs w:val="24"/>
        </w:rPr>
        <w:t xml:space="preserve"> потреби,  т - </w:t>
      </w:r>
      <w:r w:rsidRPr="008B6E96">
        <w:rPr>
          <w:rFonts w:ascii="Times New Roman" w:hAnsi="Times New Roman" w:cs="Times New Roman"/>
          <w:sz w:val="24"/>
          <w:szCs w:val="24"/>
        </w:rPr>
        <w:t>365,0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Передано іншим </w:t>
      </w:r>
      <w:r w:rsidRPr="008B6E96">
        <w:rPr>
          <w:rFonts w:ascii="Times New Roman" w:hAnsi="Times New Roman" w:cs="Times New Roman"/>
          <w:sz w:val="24"/>
          <w:szCs w:val="24"/>
        </w:rPr>
        <w:t>підприємствам, 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6E96">
        <w:rPr>
          <w:rFonts w:ascii="Times New Roman" w:hAnsi="Times New Roman" w:cs="Times New Roman"/>
          <w:sz w:val="24"/>
          <w:szCs w:val="24"/>
        </w:rPr>
        <w:t>1154,0</w:t>
      </w:r>
    </w:p>
    <w:p w:rsidR="008B6E96" w:rsidRDefault="008B6E96" w:rsidP="008B6E96">
      <w:pPr>
        <w:jc w:val="both"/>
        <w:rPr>
          <w:rFonts w:ascii="Times New Roman" w:hAnsi="Times New Roman" w:cs="Times New Roman"/>
          <w:sz w:val="24"/>
          <w:szCs w:val="24"/>
        </w:rPr>
      </w:pPr>
      <w:r w:rsidRPr="008B6E96">
        <w:rPr>
          <w:rFonts w:ascii="Times New Roman" w:hAnsi="Times New Roman" w:cs="Times New Roman"/>
          <w:sz w:val="24"/>
          <w:szCs w:val="24"/>
        </w:rPr>
        <w:t>Найбіль</w:t>
      </w:r>
      <w:r>
        <w:rPr>
          <w:rFonts w:ascii="Times New Roman" w:hAnsi="Times New Roman" w:cs="Times New Roman"/>
          <w:sz w:val="24"/>
          <w:szCs w:val="24"/>
        </w:rPr>
        <w:t xml:space="preserve">ш поширеними видами відходів на </w:t>
      </w:r>
      <w:r w:rsidRPr="008B6E96">
        <w:rPr>
          <w:rFonts w:ascii="Times New Roman" w:hAnsi="Times New Roman" w:cs="Times New Roman"/>
          <w:sz w:val="24"/>
          <w:szCs w:val="24"/>
        </w:rPr>
        <w:t>всіх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х є відходи паперу та картону,  </w:t>
      </w:r>
      <w:r w:rsidRPr="008B6E96">
        <w:rPr>
          <w:rFonts w:ascii="Times New Roman" w:hAnsi="Times New Roman" w:cs="Times New Roman"/>
          <w:sz w:val="24"/>
          <w:szCs w:val="24"/>
        </w:rPr>
        <w:t>сировина полімерн</w:t>
      </w:r>
      <w:r>
        <w:rPr>
          <w:rFonts w:ascii="Times New Roman" w:hAnsi="Times New Roman" w:cs="Times New Roman"/>
          <w:sz w:val="24"/>
          <w:szCs w:val="24"/>
        </w:rPr>
        <w:t xml:space="preserve">а вторинна,  склобій покупний,  </w:t>
      </w:r>
      <w:r w:rsidRPr="008B6E96">
        <w:rPr>
          <w:rFonts w:ascii="Times New Roman" w:hAnsi="Times New Roman" w:cs="Times New Roman"/>
          <w:sz w:val="24"/>
          <w:szCs w:val="24"/>
        </w:rPr>
        <w:t>відходи тверді побуд</w:t>
      </w:r>
      <w:r>
        <w:rPr>
          <w:rFonts w:ascii="Times New Roman" w:hAnsi="Times New Roman" w:cs="Times New Roman"/>
          <w:sz w:val="24"/>
          <w:szCs w:val="24"/>
        </w:rPr>
        <w:t xml:space="preserve">ові та відходи деревини. </w:t>
      </w:r>
      <w:r w:rsidRPr="008B6E96">
        <w:rPr>
          <w:rFonts w:ascii="Times New Roman" w:hAnsi="Times New Roman" w:cs="Times New Roman"/>
          <w:sz w:val="24"/>
          <w:szCs w:val="24"/>
        </w:rPr>
        <w:t>Крім тог</w:t>
      </w:r>
      <w:r>
        <w:rPr>
          <w:rFonts w:ascii="Times New Roman" w:hAnsi="Times New Roman" w:cs="Times New Roman"/>
          <w:sz w:val="24"/>
          <w:szCs w:val="24"/>
        </w:rPr>
        <w:t xml:space="preserve">о, аналіз звітів показав, що на </w:t>
      </w:r>
      <w:r w:rsidRPr="008B6E96">
        <w:rPr>
          <w:rFonts w:ascii="Times New Roman" w:hAnsi="Times New Roman" w:cs="Times New Roman"/>
          <w:sz w:val="24"/>
          <w:szCs w:val="24"/>
        </w:rPr>
        <w:t>підприємствах ко</w:t>
      </w:r>
      <w:r>
        <w:rPr>
          <w:rFonts w:ascii="Times New Roman" w:hAnsi="Times New Roman" w:cs="Times New Roman"/>
          <w:sz w:val="24"/>
          <w:szCs w:val="24"/>
        </w:rPr>
        <w:t xml:space="preserve">нсервной промисловості </w:t>
      </w:r>
      <w:r w:rsidRPr="008B6E96">
        <w:rPr>
          <w:rFonts w:ascii="Times New Roman" w:hAnsi="Times New Roman" w:cs="Times New Roman"/>
          <w:sz w:val="24"/>
          <w:szCs w:val="24"/>
        </w:rPr>
        <w:t>відсутні</w:t>
      </w:r>
      <w:r>
        <w:rPr>
          <w:rFonts w:ascii="Times New Roman" w:hAnsi="Times New Roman" w:cs="Times New Roman"/>
          <w:sz w:val="24"/>
          <w:szCs w:val="24"/>
        </w:rPr>
        <w:t xml:space="preserve"> спеціалізовані сховища органі</w:t>
      </w:r>
      <w:r w:rsidRPr="008B6E96">
        <w:rPr>
          <w:rFonts w:ascii="Times New Roman" w:hAnsi="Times New Roman" w:cs="Times New Roman"/>
          <w:sz w:val="24"/>
          <w:szCs w:val="24"/>
        </w:rPr>
        <w:t>зованого складування. Слід визначити,  що до надзвичайно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96">
        <w:rPr>
          <w:rFonts w:ascii="Times New Roman" w:hAnsi="Times New Roman" w:cs="Times New Roman"/>
          <w:sz w:val="24"/>
          <w:szCs w:val="24"/>
        </w:rPr>
        <w:t>небезпечних шкідливи</w:t>
      </w:r>
      <w:r>
        <w:rPr>
          <w:rFonts w:ascii="Times New Roman" w:hAnsi="Times New Roman" w:cs="Times New Roman"/>
          <w:sz w:val="24"/>
          <w:szCs w:val="24"/>
        </w:rPr>
        <w:t xml:space="preserve">х речовин відносяться свинець,  </w:t>
      </w:r>
      <w:r w:rsidRPr="008B6E96">
        <w:rPr>
          <w:rFonts w:ascii="Times New Roman" w:hAnsi="Times New Roman" w:cs="Times New Roman"/>
          <w:sz w:val="24"/>
          <w:szCs w:val="24"/>
        </w:rPr>
        <w:t xml:space="preserve">ртуть. Високо-  та </w:t>
      </w:r>
      <w:r>
        <w:rPr>
          <w:rFonts w:ascii="Times New Roman" w:hAnsi="Times New Roman" w:cs="Times New Roman"/>
          <w:sz w:val="24"/>
          <w:szCs w:val="24"/>
        </w:rPr>
        <w:t>помірнонебезпечні шкідливі речо</w:t>
      </w:r>
      <w:r w:rsidRPr="008B6E96">
        <w:rPr>
          <w:rFonts w:ascii="Times New Roman" w:hAnsi="Times New Roman" w:cs="Times New Roman"/>
          <w:sz w:val="24"/>
          <w:szCs w:val="24"/>
        </w:rPr>
        <w:t>вини підприємства консервної промисловості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96">
        <w:rPr>
          <w:rFonts w:ascii="Times New Roman" w:hAnsi="Times New Roman" w:cs="Times New Roman"/>
          <w:sz w:val="24"/>
          <w:szCs w:val="24"/>
        </w:rPr>
        <w:t>утворюють.  Малонебезпечні шкідливі речовини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96">
        <w:rPr>
          <w:rFonts w:ascii="Times New Roman" w:hAnsi="Times New Roman" w:cs="Times New Roman"/>
          <w:sz w:val="24"/>
          <w:szCs w:val="24"/>
        </w:rPr>
        <w:t>містять пари спирту, бензину, ацетону.</w:t>
      </w:r>
    </w:p>
    <w:p w:rsidR="00B82DC0" w:rsidRDefault="00B82DC0" w:rsidP="008B6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C0" w:rsidRDefault="00B82DC0" w:rsidP="00B82D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DC0">
        <w:rPr>
          <w:rFonts w:ascii="Times New Roman" w:hAnsi="Times New Roman" w:cs="Times New Roman"/>
          <w:sz w:val="24"/>
          <w:szCs w:val="24"/>
        </w:rPr>
        <w:t xml:space="preserve">Найменування відходів </w:t>
      </w:r>
      <w:bookmarkEnd w:id="0"/>
      <w:r w:rsidRPr="00B82DC0">
        <w:rPr>
          <w:rFonts w:ascii="Times New Roman" w:hAnsi="Times New Roman" w:cs="Times New Roman"/>
          <w:sz w:val="24"/>
          <w:szCs w:val="24"/>
        </w:rPr>
        <w:t>консервної промисловості, тонн</w:t>
      </w:r>
    </w:p>
    <w:tbl>
      <w:tblPr>
        <w:tblW w:w="10605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873"/>
        <w:gridCol w:w="1113"/>
        <w:gridCol w:w="1646"/>
        <w:gridCol w:w="1664"/>
        <w:gridCol w:w="1633"/>
        <w:gridCol w:w="1522"/>
        <w:gridCol w:w="1106"/>
      </w:tblGrid>
      <w:tr w:rsidR="00B82DC0" w:rsidTr="001731D6">
        <w:trPr>
          <w:trHeight w:val="360"/>
        </w:trPr>
        <w:tc>
          <w:tcPr>
            <w:tcW w:w="885" w:type="dxa"/>
            <w:vMerge w:val="restart"/>
            <w:vAlign w:val="center"/>
          </w:tcPr>
          <w:p w:rsidR="001731D6" w:rsidRPr="001731D6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20" w:type="dxa"/>
            <w:gridSpan w:val="7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Відходи, які містять</w:t>
            </w:r>
          </w:p>
        </w:tc>
      </w:tr>
      <w:tr w:rsidR="001731D6" w:rsidTr="001731D6">
        <w:trPr>
          <w:trHeight w:val="330"/>
        </w:trPr>
        <w:tc>
          <w:tcPr>
            <w:tcW w:w="885" w:type="dxa"/>
            <w:vMerge/>
            <w:vAlign w:val="center"/>
          </w:tcPr>
          <w:p w:rsidR="00B82DC0" w:rsidRDefault="00B82DC0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8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свинець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відпра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цьовані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1731D6" w:rsidRPr="001731D6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абруднені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нафто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417" w:type="dxa"/>
            <w:vAlign w:val="center"/>
          </w:tcPr>
          <w:p w:rsidR="001731D6" w:rsidRPr="001731D6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створені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транспортни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</w:p>
        </w:tc>
        <w:tc>
          <w:tcPr>
            <w:tcW w:w="1276" w:type="dxa"/>
            <w:vAlign w:val="center"/>
          </w:tcPr>
          <w:p w:rsidR="001731D6" w:rsidRPr="001731D6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забруд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пісо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01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денний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пісок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31D6" w:rsidTr="001731D6">
        <w:trPr>
          <w:trHeight w:val="390"/>
        </w:trPr>
        <w:tc>
          <w:tcPr>
            <w:tcW w:w="885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3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418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559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01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</w:tr>
      <w:tr w:rsidR="001731D6" w:rsidTr="001731D6">
        <w:trPr>
          <w:trHeight w:val="255"/>
        </w:trPr>
        <w:tc>
          <w:tcPr>
            <w:tcW w:w="885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3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418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559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417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01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4,690</w:t>
            </w:r>
          </w:p>
        </w:tc>
      </w:tr>
      <w:tr w:rsidR="001731D6" w:rsidTr="001731D6">
        <w:trPr>
          <w:trHeight w:val="300"/>
        </w:trPr>
        <w:tc>
          <w:tcPr>
            <w:tcW w:w="885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3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418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9,520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417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501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</w:tr>
      <w:tr w:rsidR="001731D6" w:rsidTr="001731D6">
        <w:trPr>
          <w:trHeight w:val="202"/>
        </w:trPr>
        <w:tc>
          <w:tcPr>
            <w:tcW w:w="885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Темпи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росту,%</w:t>
            </w:r>
          </w:p>
        </w:tc>
        <w:tc>
          <w:tcPr>
            <w:tcW w:w="1273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  <w:tc>
          <w:tcPr>
            <w:tcW w:w="1418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в 14 разі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  <w:tc>
          <w:tcPr>
            <w:tcW w:w="1559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415,50</w:t>
            </w:r>
          </w:p>
        </w:tc>
        <w:tc>
          <w:tcPr>
            <w:tcW w:w="1417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316,60</w:t>
            </w:r>
          </w:p>
        </w:tc>
        <w:tc>
          <w:tcPr>
            <w:tcW w:w="1276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01" w:type="dxa"/>
            <w:vAlign w:val="center"/>
          </w:tcPr>
          <w:p w:rsidR="00B82DC0" w:rsidRDefault="001731D6" w:rsidP="0017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D6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</w:tr>
    </w:tbl>
    <w:p w:rsidR="00B82DC0" w:rsidRDefault="00B82DC0" w:rsidP="00173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1D6" w:rsidRDefault="001731D6" w:rsidP="00173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1D6">
        <w:rPr>
          <w:rFonts w:ascii="Times New Roman" w:hAnsi="Times New Roman" w:cs="Times New Roman"/>
          <w:sz w:val="24"/>
          <w:szCs w:val="24"/>
        </w:rPr>
        <w:t>Дані щодо діяльності свідчать про те,  що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>збільшенні собівартості продукції на 117,5%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>відходи,  які містять ртуть,  відпрацьовані масла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 xml:space="preserve">забруднений пісок зменшилися відповідно на 70,77%,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>57,54%  і 66,67%,  а</w:t>
      </w:r>
      <w:r>
        <w:rPr>
          <w:rFonts w:ascii="Times New Roman" w:hAnsi="Times New Roman" w:cs="Times New Roman"/>
          <w:sz w:val="24"/>
          <w:szCs w:val="24"/>
        </w:rPr>
        <w:t xml:space="preserve"> відходи,  які містять свинець, </w:t>
      </w:r>
      <w:r w:rsidRPr="001731D6">
        <w:rPr>
          <w:rFonts w:ascii="Times New Roman" w:hAnsi="Times New Roman" w:cs="Times New Roman"/>
          <w:sz w:val="24"/>
          <w:szCs w:val="24"/>
        </w:rPr>
        <w:t>забруднені нафтопродуктами та створені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>експлуатації транспортних засобів суттєво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D6">
        <w:rPr>
          <w:rFonts w:ascii="Times New Roman" w:hAnsi="Times New Roman" w:cs="Times New Roman"/>
          <w:sz w:val="24"/>
          <w:szCs w:val="24"/>
        </w:rPr>
        <w:t>збільшилися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1D6" w:rsidRDefault="001731D6" w:rsidP="00E7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Таким чином,  за допомогою наведеної інформації можливо,  по-перше,  визначити проблеми,  вибрати основні напрямки обстежень,  розробити заходи щодо вдосконалення екологічної діяльності і розробити відповідну програму дій;  по-друге,  після завершення всього комплексу аналітичних досліджень можна перевірити висунуту на початковому етапі діагностичну гіпотезу про наявність еколого-економічних проблем.  За допомогою інформації про зміни якості навколишнього середовища,  яка отримана,  можна виділити істотні фактори або  «вузькі місця»  у відтворювальних процесах і оцінити їх вплив на навколишнє середовище, можливо зробити раціональний вибір природоохоронних заходів або внести зміни в сам виробничий процес. Головними причинами, що можуть призвести до загрожуючого стану довкілля,  е застаріла технологія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</w:t>
      </w:r>
      <w:r w:rsidRPr="00E75042">
        <w:rPr>
          <w:rFonts w:ascii="Times New Roman" w:hAnsi="Times New Roman" w:cs="Times New Roman"/>
          <w:sz w:val="24"/>
          <w:szCs w:val="24"/>
        </w:rPr>
        <w:t>виробництва та обладнання,  висока енергомісткість та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</w:t>
      </w:r>
      <w:r w:rsidRPr="00E75042">
        <w:rPr>
          <w:rFonts w:ascii="Times New Roman" w:hAnsi="Times New Roman" w:cs="Times New Roman"/>
          <w:sz w:val="24"/>
          <w:szCs w:val="24"/>
        </w:rPr>
        <w:t>матеріаломісткість,  що перевищують у два –  три рази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</w:t>
      </w:r>
      <w:r w:rsidRPr="00E75042">
        <w:rPr>
          <w:rFonts w:ascii="Times New Roman" w:hAnsi="Times New Roman" w:cs="Times New Roman"/>
          <w:sz w:val="24"/>
          <w:szCs w:val="24"/>
        </w:rPr>
        <w:t>відповідні показники розвинутих країн,   відсутність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</w:t>
      </w:r>
      <w:r w:rsidRPr="00E75042">
        <w:rPr>
          <w:rFonts w:ascii="Times New Roman" w:hAnsi="Times New Roman" w:cs="Times New Roman"/>
          <w:sz w:val="24"/>
          <w:szCs w:val="24"/>
        </w:rPr>
        <w:t>інновацій у належні природоохоронні системи    (очисні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</w:t>
      </w:r>
      <w:r w:rsidRPr="00E75042">
        <w:rPr>
          <w:rFonts w:ascii="Times New Roman" w:hAnsi="Times New Roman" w:cs="Times New Roman"/>
          <w:sz w:val="24"/>
          <w:szCs w:val="24"/>
        </w:rPr>
        <w:t>споруди,  оборотні системи водозабезпечення тощо)  та</w:t>
      </w:r>
      <w:r w:rsidR="00E75042" w:rsidRPr="00E75042">
        <w:rPr>
          <w:rFonts w:ascii="Times New Roman" w:hAnsi="Times New Roman" w:cs="Times New Roman"/>
          <w:sz w:val="24"/>
          <w:szCs w:val="24"/>
        </w:rPr>
        <w:t xml:space="preserve"> відсутність належного контролю за охороною довкілля.</w:t>
      </w:r>
    </w:p>
    <w:p w:rsidR="00E75042" w:rsidRPr="00E75042" w:rsidRDefault="00E75042" w:rsidP="00E75042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E75042">
        <w:rPr>
          <w:rStyle w:val="a3"/>
          <w:rFonts w:ascii="Times New Roman" w:hAnsi="Times New Roman" w:cs="Times New Roman"/>
          <w:iCs/>
          <w:sz w:val="24"/>
          <w:szCs w:val="24"/>
        </w:rPr>
        <w:t>Перелік документації, яка необхідна для отримання дозволу на викиди забруднюючих речовин в атмосферне повітря </w:t>
      </w:r>
    </w:p>
    <w:p w:rsidR="00E75042" w:rsidRPr="00E75042" w:rsidRDefault="00E75042" w:rsidP="00E75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1.Заява, згідно встановленої форми (зразок додається).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2. Для новоствореного підприємства - «Робочий проект з розділом ОВНС» (п. 1.7 Інструкції...). Для діючого підприємства - «Звіт з інвентаризації викидів забруднюючих речовин в атмосферне повітря» (п. 4 Постанови Кабінету Міністрів України від 13.03.2002р. № 302).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lastRenderedPageBreak/>
        <w:t>3. Для новоствореного підприємства - «Пропозиції на отримання дозволу» (п. 1.7 Інструкції...). Для діючого підприємства - «Документи, в яких обґрунтовуються обсяги викидів забруднюючих речовин» у письмовій формі (п. 4 Постанови Кабінету Міністрів України від 13.03.2002р. № 302).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 xml:space="preserve">4. </w:t>
      </w:r>
      <w:r w:rsidRPr="00E7504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75042">
        <w:rPr>
          <w:rFonts w:ascii="Times New Roman" w:hAnsi="Times New Roman" w:cs="Times New Roman"/>
          <w:sz w:val="24"/>
          <w:szCs w:val="24"/>
        </w:rPr>
        <w:t xml:space="preserve"> - формат на електронних носіях (п. 5 Постанови Кабінету Міністрів України від 13.03.2002р. № 302).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5. Повідомлення, розміщене в місцевих друкованих засобах масової інформації про намір отримати дозвіл на викиди забруднюючих речовин в атмосферне повітря (зразок додається).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6. Повідомлення місцевої держадміністрації про наявність звернень громадян з приводу отримання даним підприємством дозволу (п. 7 Постанови Кабінету Міністрів України від 13.03.2002р. № 302).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>7. Висновок установи державної санітарно-епідеміологічної служби щодо видачі дозволу суб’єкту господарювання (п. 6 Постанови Кабінету Міністрів України від 13.03.2002р. № 302).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 xml:space="preserve">       Дозвіл видається безоплатно державним управлінням охорони навколишнього природного середовища в Сумській області на термін не менш як п’ять років.</w:t>
      </w:r>
    </w:p>
    <w:p w:rsidR="00E75042" w:rsidRPr="00E75042" w:rsidRDefault="00E75042" w:rsidP="00E7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42">
        <w:rPr>
          <w:rFonts w:ascii="Times New Roman" w:hAnsi="Times New Roman" w:cs="Times New Roman"/>
          <w:sz w:val="24"/>
          <w:szCs w:val="24"/>
        </w:rPr>
        <w:t xml:space="preserve">   Суб’єкт господарювання для розроблення документів, у яких обгрунтовуються обсяги викидів, може залучати установи, організації та заклади, яким Мінприроди надає право на розроблення цих документів.</w:t>
      </w:r>
    </w:p>
    <w:p w:rsidR="00E75042" w:rsidRPr="00E75042" w:rsidRDefault="00E75042" w:rsidP="00E7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5042" w:rsidRPr="00E75042" w:rsidSect="00D6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1A" w:rsidRDefault="00F8151A" w:rsidP="00F8151A">
      <w:pPr>
        <w:spacing w:after="0" w:line="240" w:lineRule="auto"/>
      </w:pPr>
      <w:r>
        <w:separator/>
      </w:r>
    </w:p>
  </w:endnote>
  <w:endnote w:type="continuationSeparator" w:id="0">
    <w:p w:rsidR="00F8151A" w:rsidRDefault="00F8151A" w:rsidP="00F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1A" w:rsidRDefault="00F8151A" w:rsidP="00F8151A">
      <w:pPr>
        <w:spacing w:after="0" w:line="240" w:lineRule="auto"/>
      </w:pPr>
      <w:r>
        <w:separator/>
      </w:r>
    </w:p>
  </w:footnote>
  <w:footnote w:type="continuationSeparator" w:id="0">
    <w:p w:rsidR="00F8151A" w:rsidRDefault="00F8151A" w:rsidP="00F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Pr="00F8151A" w:rsidRDefault="00F8151A" w:rsidP="00F8151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8151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8151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A55"/>
    <w:rsid w:val="001731D6"/>
    <w:rsid w:val="00720154"/>
    <w:rsid w:val="008B6E96"/>
    <w:rsid w:val="00B82DC0"/>
    <w:rsid w:val="00BF5A55"/>
    <w:rsid w:val="00D64676"/>
    <w:rsid w:val="00E75042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5042"/>
    <w:rPr>
      <w:b/>
      <w:bCs/>
    </w:rPr>
  </w:style>
  <w:style w:type="paragraph" w:styleId="a4">
    <w:name w:val="header"/>
    <w:basedOn w:val="a"/>
    <w:link w:val="a5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151A"/>
  </w:style>
  <w:style w:type="paragraph" w:styleId="a6">
    <w:name w:val="footer"/>
    <w:basedOn w:val="a"/>
    <w:link w:val="a7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151A"/>
  </w:style>
  <w:style w:type="character" w:styleId="a8">
    <w:name w:val="Hyperlink"/>
    <w:basedOn w:val="a0"/>
    <w:uiPriority w:val="99"/>
    <w:unhideWhenUsed/>
    <w:rsid w:val="00F8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6AAA-1209-4644-904C-AD09A6F5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762</Words>
  <Characters>5228</Characters>
  <Application>Microsoft Office Word</Application>
  <DocSecurity>0</DocSecurity>
  <Lines>142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2012-03-17T22:14:00Z</dcterms:created>
  <dcterms:modified xsi:type="dcterms:W3CDTF">2013-03-15T16:36:00Z</dcterms:modified>
</cp:coreProperties>
</file>